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bookmarkStart w:id="0" w:name="_GoBack"/>
      <w:bookmarkEnd w:id="0"/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A061BC1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1B2838">
        <w:rPr>
          <w:b/>
        </w:rPr>
        <w:t>Детали машин и основы конструирования</w:t>
      </w:r>
      <w:r>
        <w:rPr>
          <w:b/>
        </w:rPr>
        <w:t>»</w:t>
      </w:r>
    </w:p>
    <w:p w14:paraId="3C534FC1" w14:textId="40482602" w:rsidR="00A04EE9" w:rsidRPr="00F8115F" w:rsidRDefault="001B2838" w:rsidP="00F551F7">
      <w:pPr>
        <w:spacing w:after="0" w:line="360" w:lineRule="auto"/>
        <w:ind w:left="0" w:right="0" w:firstLine="0"/>
        <w:jc w:val="center"/>
        <w:rPr>
          <w:b/>
          <w:bCs/>
        </w:rPr>
      </w:pPr>
      <w:r>
        <w:rPr>
          <w:b/>
        </w:rPr>
        <w:t>5</w:t>
      </w:r>
      <w:r w:rsidR="00F8115F" w:rsidRPr="00F8115F">
        <w:rPr>
          <w:b/>
          <w:bCs/>
        </w:rPr>
        <w:t xml:space="preserve"> семестр</w:t>
      </w:r>
    </w:p>
    <w:p w14:paraId="63277C52" w14:textId="623F6C83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</w:t>
      </w:r>
      <w:r w:rsidR="00B532F2">
        <w:t>зачетном</w:t>
      </w:r>
      <w:r>
        <w:t xml:space="preserve"> билете, из нижеприведенного списка</w:t>
      </w:r>
      <w:r w:rsidR="001B2838">
        <w:t xml:space="preserve"> и решить задачу</w:t>
      </w:r>
      <w:r>
        <w:t xml:space="preserve">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5B19B1" w:rsidRDefault="00361C9C" w:rsidP="00754490">
      <w:pPr>
        <w:spacing w:after="0" w:line="360" w:lineRule="auto"/>
        <w:ind w:left="0" w:right="0"/>
        <w:jc w:val="left"/>
      </w:pPr>
    </w:p>
    <w:p w14:paraId="2E180111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Основные понятия и определения, используемые в курсе деталей машин. </w:t>
      </w:r>
    </w:p>
    <w:p w14:paraId="69EDC243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Критерии работоспособности и расчета деталей машин: статическая прочность. </w:t>
      </w:r>
    </w:p>
    <w:p w14:paraId="3166C882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Назначение и виды передач. </w:t>
      </w:r>
    </w:p>
    <w:p w14:paraId="6142836B" w14:textId="4F26EA08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Основные параметры механических передач.</w:t>
      </w:r>
    </w:p>
    <w:p w14:paraId="4FB87C1B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Зубчатые передачи: классификация, геометрические параметры. Достоинства и недостатки. </w:t>
      </w:r>
    </w:p>
    <w:p w14:paraId="737E08A6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Расчет цилиндрической прямозубой передачи на контактную прочность.</w:t>
      </w:r>
    </w:p>
    <w:p w14:paraId="451EB746" w14:textId="22ED27B3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Расчет цилиндрической прямозубой передачи на изгиб.</w:t>
      </w:r>
    </w:p>
    <w:p w14:paraId="4669D2B8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Особенности геометрии и расчета косозубых и шевронных передач.</w:t>
      </w:r>
    </w:p>
    <w:p w14:paraId="64C5B1F6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Материалы зубчатых колес, виды термообработки. Определение допустимых напряжений.</w:t>
      </w:r>
    </w:p>
    <w:p w14:paraId="0F491166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Конические зубчатые передачи: геометрия, параметры, расчет на прочность. Достоинства и недостатки.</w:t>
      </w:r>
    </w:p>
    <w:p w14:paraId="012D202B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lastRenderedPageBreak/>
        <w:t>Червячные передачи: конструкция, классификация, принцип действия, достоинства и недостатки. Основные геометрические и кинематические зависимости.</w:t>
      </w:r>
    </w:p>
    <w:p w14:paraId="3B37C83F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Червячные передачи: критерии работоспособности и расчет на прочность.</w:t>
      </w:r>
    </w:p>
    <w:p w14:paraId="6609DC52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Цепные передачи: устройство, геометрические параметры, конструкции цепей, достоинства и недостатки. Основные геометрические и кинематические зависимости.</w:t>
      </w:r>
    </w:p>
    <w:p w14:paraId="23562D60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Критерии работоспособности и расчет цепной передачи втулочно-роликовой цепью.</w:t>
      </w:r>
    </w:p>
    <w:p w14:paraId="3C1791D1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Ременная передача: геометрические и кинематические зависимости. Силы, действующие в ременной передаче.</w:t>
      </w:r>
    </w:p>
    <w:p w14:paraId="6F41E5E0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Напряжения, действующие в ременной передаче. Требования к материалам ремней и их реализация. </w:t>
      </w:r>
    </w:p>
    <w:p w14:paraId="4E1CB23E" w14:textId="77777777" w:rsidR="001B2838" w:rsidRDefault="001B2838" w:rsidP="001B283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Расчет ременных передач по тяговой способности и на  усталостную прочность.</w:t>
      </w:r>
    </w:p>
    <w:p w14:paraId="3DEED5B5" w14:textId="77777777" w:rsidR="001B2838" w:rsidRDefault="001B2838" w:rsidP="001B2838">
      <w:pPr>
        <w:spacing w:after="0" w:line="360" w:lineRule="auto"/>
        <w:ind w:left="0" w:right="0"/>
        <w:jc w:val="left"/>
      </w:pPr>
    </w:p>
    <w:p w14:paraId="0E894AC9" w14:textId="77777777" w:rsidR="001B2838" w:rsidRDefault="001B2838" w:rsidP="001B2838">
      <w:pPr>
        <w:spacing w:after="0" w:line="360" w:lineRule="auto"/>
        <w:ind w:left="0" w:right="0"/>
        <w:jc w:val="center"/>
      </w:pPr>
      <w:r>
        <w:t>Примеры экзаменационных задач</w:t>
      </w:r>
    </w:p>
    <w:p w14:paraId="4406C62E" w14:textId="77777777" w:rsidR="001B2838" w:rsidRDefault="001B2838" w:rsidP="001B2838">
      <w:pPr>
        <w:spacing w:after="0" w:line="360" w:lineRule="auto"/>
        <w:ind w:left="0" w:right="0"/>
        <w:jc w:val="left"/>
      </w:pPr>
    </w:p>
    <w:p w14:paraId="52ED9F49" w14:textId="7F18BBFD" w:rsidR="001B2838" w:rsidRP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 xml:space="preserve">Проверить пригодность по критерию износостойкости приводной роликовой цепи ПР – 19,05 – 31,8 ГОСТ 13568 для работы в приводе с передаточном отношением u=2,5 и вращающем моменте на ведущей звездочке Т=150 </w:t>
      </w:r>
      <w:proofErr w:type="spellStart"/>
      <w:r>
        <w:t>Н∙м</w:t>
      </w:r>
      <w:proofErr w:type="spellEnd"/>
      <w:r>
        <w:t>. Допустимое давление в шарнире принять равным 17 Н/мм</w:t>
      </w:r>
      <w:r w:rsidRPr="001B2838">
        <w:rPr>
          <w:vertAlign w:val="superscript"/>
        </w:rPr>
        <w:t>2</w:t>
      </w:r>
      <w:r>
        <w:t>.</w:t>
      </w:r>
    </w:p>
    <w:p w14:paraId="35F73940" w14:textId="39439BFC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>Определить передаточное отношение и КПД червячной передачи, для которой: делительный диаметр червяка d1=80 мм; делительный диаметр колеса d2=312 мм; число заходов червяка z1=2; частота вращения червяка n1=1440 мин</w:t>
      </w:r>
      <w:r w:rsidRPr="001B2838">
        <w:rPr>
          <w:vertAlign w:val="superscript"/>
        </w:rPr>
        <w:t>-1</w:t>
      </w:r>
      <w:r>
        <w:t>; модуль зацепления m=8 мм.</w:t>
      </w:r>
    </w:p>
    <w:p w14:paraId="685C1501" w14:textId="77777777" w:rsidR="001B2838" w:rsidRDefault="001B2838" w:rsidP="001B2838">
      <w:pPr>
        <w:spacing w:after="0" w:line="360" w:lineRule="auto"/>
        <w:ind w:left="0" w:right="0"/>
      </w:pPr>
    </w:p>
    <w:p w14:paraId="66B983D1" w14:textId="5109C43D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>Установить коэффициент динамической нагрузки для проверочного расчета зубчатых колес конической передачи, выполненных из стали 40Х с применением поверхностной закалки, если известны: средний модуль зацепления   m=2 мм; частота вращения шестерни n1=720 мин</w:t>
      </w:r>
      <w:r w:rsidRPr="001B2838">
        <w:rPr>
          <w:vertAlign w:val="superscript"/>
        </w:rPr>
        <w:t>-1</w:t>
      </w:r>
      <w:r>
        <w:rPr>
          <w:vertAlign w:val="superscript"/>
        </w:rPr>
        <w:t xml:space="preserve"> </w:t>
      </w:r>
      <w:r w:rsidRPr="001B2838">
        <w:t>;</w:t>
      </w:r>
      <w:r>
        <w:t xml:space="preserve"> число зубьев колеса z2 =60; угол начального конуса колеса  δ2 =60</w:t>
      </w:r>
      <w:r w:rsidRPr="001B2838">
        <w:rPr>
          <w:vertAlign w:val="superscript"/>
        </w:rPr>
        <w:t>0</w:t>
      </w:r>
      <w:r>
        <w:t>.</w:t>
      </w:r>
    </w:p>
    <w:p w14:paraId="663285A1" w14:textId="3C212E59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</w:t>
      </w:r>
      <w:proofErr w:type="spellStart"/>
      <w:r>
        <w:t>Н∙м</w:t>
      </w:r>
      <w:proofErr w:type="spellEnd"/>
      <w:r>
        <w:t>. Коэффициент трения ремня по шкиву 0,2.</w:t>
      </w:r>
    </w:p>
    <w:p w14:paraId="39D02391" w14:textId="4B9AF373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>Подобрать материалы для червяка и червячного колеса для использования в червячной передаче с параметрами: мощность P1=5 кВт, n1 =1440 мин-1; передаточное отношение u=12.</w:t>
      </w:r>
    </w:p>
    <w:p w14:paraId="43CE19EB" w14:textId="77777777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 xml:space="preserve">Определить минимально допустимое значение модуля зацепления прямозубой цилиндрической передачи из условия прочности на изгиб. Делительный диаметр шестерни 120 мм, вращающий момент Т1=85 </w:t>
      </w:r>
      <w:proofErr w:type="spellStart"/>
      <w:r>
        <w:t>Н∙м</w:t>
      </w:r>
      <w:proofErr w:type="spellEnd"/>
      <w:r>
        <w:t>. Допускаемые напряжения изгиба 280 МПа. Ширина зубчатого венца 30 мм. Степень точности передачи –  Зубчатые колеса расположены несимметрично относительно опор. Частота вращения n1=950 мин-1; твердость материалов меньше 350 НВ.</w:t>
      </w:r>
    </w:p>
    <w:p w14:paraId="2AB3BE9E" w14:textId="77777777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 xml:space="preserve">Определить коэффициент долговечности для вычисления допускаемых контактных напряжений шестерни, выполненной из  стали 45, термообработка улучшение – 240 НВ. Частота вращения шестерни 2880 мин-1, срок службы передачи 11000 часов. Гистограмма </w:t>
      </w:r>
      <w:proofErr w:type="spellStart"/>
      <w:r>
        <w:t>нагружения</w:t>
      </w:r>
      <w:proofErr w:type="spellEnd"/>
      <w:r>
        <w:t xml:space="preserve"> передачи показана на рисунке.</w:t>
      </w:r>
    </w:p>
    <w:p w14:paraId="5C027A6A" w14:textId="77777777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14:paraId="661F159D" w14:textId="77777777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>Определить максимальное значение нормального модуля из условия отсутствия подрезания зубьев в косозубой передаче. Делительный диаметр шестерни равен    20 мм, угол наклона зубьев 18О, допустимое напряжение изгиба 276 МПа.</w:t>
      </w:r>
    </w:p>
    <w:p w14:paraId="518D1175" w14:textId="77777777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4А60S8У</w:t>
      </w:r>
    </w:p>
    <w:p w14:paraId="2BE3A526" w14:textId="77777777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 xml:space="preserve">Вычислить коэффициент ширины зубчатого венца </w:t>
      </w:r>
      <w:proofErr w:type="spellStart"/>
      <w:r>
        <w:t>ψbRe</w:t>
      </w:r>
      <w:proofErr w:type="spellEnd"/>
      <w:r>
        <w:t xml:space="preserve"> конической передачи: ширина зубчатого венца 38 мм, диаметр внешней делительной окружности колеса 35 мм, передаточное число 3,</w:t>
      </w:r>
    </w:p>
    <w:p w14:paraId="57436F01" w14:textId="77777777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>Подобрать ремень и назначить диаметры шкивов для клиноременной передачи с входными параметрами: передаваемая мощность – 10 кВт, частота вращения ведущего шкива  960 об/мин, передаточное отношение – 4</w:t>
      </w:r>
    </w:p>
    <w:p w14:paraId="51066F26" w14:textId="77777777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>Определить требуемое число ремней в клиноременной передаче: передаваемая мощность 8 кВт, расчетная мощность для одного ремня 1,95 кВт.</w:t>
      </w:r>
    </w:p>
    <w:p w14:paraId="639D8DEB" w14:textId="77777777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14:paraId="5AD7B487" w14:textId="5FFBD72F" w:rsidR="001B2838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 xml:space="preserve">Назначить число зубьев зубчатых колес в планетарной передаче с передаточным отношением </w:t>
      </w:r>
      <w:proofErr w:type="spellStart"/>
      <w:r>
        <w:t>ibah</w:t>
      </w:r>
      <w:proofErr w:type="spellEnd"/>
      <w:r>
        <w:t>=6,3 Число сателлитов – 3.</w:t>
      </w:r>
    </w:p>
    <w:p w14:paraId="14F069C8" w14:textId="580D9B53" w:rsidR="00085992" w:rsidRDefault="001B2838" w:rsidP="001B2838">
      <w:pPr>
        <w:pStyle w:val="a3"/>
        <w:numPr>
          <w:ilvl w:val="0"/>
          <w:numId w:val="7"/>
        </w:numPr>
        <w:spacing w:after="0" w:line="360" w:lineRule="auto"/>
        <w:ind w:right="0"/>
      </w:pPr>
      <w:r>
        <w:t>Определить значение допустимых контактных напряжений для стали 40Х, термообработка объемная закалка. Эквивалентное число циклов перемены напряжений равно 2,8∙10</w:t>
      </w:r>
      <w:r w:rsidRPr="001B2838">
        <w:rPr>
          <w:vertAlign w:val="superscript"/>
        </w:rPr>
        <w:t>3</w:t>
      </w:r>
      <w:r>
        <w:t>.</w:t>
      </w:r>
    </w:p>
    <w:sectPr w:rsidR="0008599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E34CE" w14:textId="77777777" w:rsidR="00A82F0F" w:rsidRDefault="00A82F0F">
      <w:pPr>
        <w:spacing w:after="0" w:line="240" w:lineRule="auto"/>
      </w:pPr>
      <w:r>
        <w:separator/>
      </w:r>
    </w:p>
  </w:endnote>
  <w:endnote w:type="continuationSeparator" w:id="0">
    <w:p w14:paraId="5DA033A1" w14:textId="77777777" w:rsidR="00A82F0F" w:rsidRDefault="00A8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3A36" w:rsidRPr="006D3A36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BEE93" w14:textId="77777777" w:rsidR="00A82F0F" w:rsidRDefault="00A82F0F">
      <w:pPr>
        <w:spacing w:after="0" w:line="240" w:lineRule="auto"/>
      </w:pPr>
      <w:r>
        <w:separator/>
      </w:r>
    </w:p>
  </w:footnote>
  <w:footnote w:type="continuationSeparator" w:id="0">
    <w:p w14:paraId="42173CD4" w14:textId="77777777" w:rsidR="00A82F0F" w:rsidRDefault="00A8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C0961"/>
    <w:multiLevelType w:val="hybridMultilevel"/>
    <w:tmpl w:val="E678311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4C3A0274"/>
    <w:multiLevelType w:val="hybridMultilevel"/>
    <w:tmpl w:val="8682C00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194AD5"/>
    <w:multiLevelType w:val="hybridMultilevel"/>
    <w:tmpl w:val="3CB091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923F6"/>
    <w:rsid w:val="001B2838"/>
    <w:rsid w:val="00361C9C"/>
    <w:rsid w:val="005359A4"/>
    <w:rsid w:val="00562ED6"/>
    <w:rsid w:val="005B19B1"/>
    <w:rsid w:val="0067251F"/>
    <w:rsid w:val="006B4B77"/>
    <w:rsid w:val="006D3A36"/>
    <w:rsid w:val="00735E37"/>
    <w:rsid w:val="00754490"/>
    <w:rsid w:val="00772F4A"/>
    <w:rsid w:val="007A7E99"/>
    <w:rsid w:val="008409E9"/>
    <w:rsid w:val="008D459C"/>
    <w:rsid w:val="009117C2"/>
    <w:rsid w:val="00932E0A"/>
    <w:rsid w:val="00956DAD"/>
    <w:rsid w:val="009962D2"/>
    <w:rsid w:val="00A04EE9"/>
    <w:rsid w:val="00A3108C"/>
    <w:rsid w:val="00A82F0F"/>
    <w:rsid w:val="00B532F2"/>
    <w:rsid w:val="00C3397B"/>
    <w:rsid w:val="00D23F38"/>
    <w:rsid w:val="00D41FA8"/>
    <w:rsid w:val="00E65A82"/>
    <w:rsid w:val="00F34682"/>
    <w:rsid w:val="00F551F7"/>
    <w:rsid w:val="00F8115F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2022-10-04T08:20:00Z</dcterms:created>
  <dcterms:modified xsi:type="dcterms:W3CDTF">2022-10-04T08:20:00Z</dcterms:modified>
</cp:coreProperties>
</file>