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DA" w:rsidRPr="00845513" w:rsidRDefault="00C84328" w:rsidP="00845513">
      <w:pPr>
        <w:pStyle w:val="1"/>
        <w:tabs>
          <w:tab w:val="left" w:pos="1236"/>
        </w:tabs>
        <w:ind w:left="740" w:firstLine="0"/>
        <w:jc w:val="both"/>
        <w:rPr>
          <w:b/>
          <w:caps/>
          <w:color w:val="auto"/>
          <w:sz w:val="24"/>
          <w:szCs w:val="24"/>
        </w:rPr>
      </w:pPr>
      <w:bookmarkStart w:id="0" w:name="_GoBack"/>
      <w:bookmarkEnd w:id="0"/>
      <w:r w:rsidRPr="00845513">
        <w:rPr>
          <w:b/>
          <w:caps/>
          <w:color w:val="auto"/>
          <w:sz w:val="24"/>
          <w:szCs w:val="24"/>
        </w:rPr>
        <w:t>Оценочные материалы.</w:t>
      </w:r>
    </w:p>
    <w:p w:rsidR="00A5454E" w:rsidRPr="00845513" w:rsidRDefault="00A5454E" w:rsidP="00A5454E">
      <w:pPr>
        <w:spacing w:line="276" w:lineRule="auto"/>
        <w:ind w:firstLine="709"/>
        <w:contextualSpacing/>
        <w:jc w:val="both"/>
        <w:rPr>
          <w:b/>
          <w:color w:val="auto"/>
        </w:rPr>
      </w:pPr>
      <w:r w:rsidRPr="00845513">
        <w:rPr>
          <w:rFonts w:ascii="Times New Roman" w:hAnsi="Times New Roman"/>
          <w:b/>
          <w:color w:val="auto"/>
        </w:rPr>
        <w:t>Примерные оценочные материалы, применяемые при проведении промежуточной аттестации по дисциплине (модулю)</w:t>
      </w:r>
    </w:p>
    <w:p w:rsidR="00A5454E" w:rsidRPr="00845513" w:rsidRDefault="00A5454E" w:rsidP="00A5454E">
      <w:pPr>
        <w:rPr>
          <w:b/>
          <w:color w:val="auto"/>
        </w:rPr>
      </w:pPr>
    </w:p>
    <w:p w:rsidR="00A5454E" w:rsidRPr="00845513" w:rsidRDefault="00A5454E" w:rsidP="00A5454E">
      <w:pPr>
        <w:spacing w:line="276" w:lineRule="auto"/>
        <w:ind w:firstLine="708"/>
        <w:contextualSpacing/>
        <w:jc w:val="center"/>
        <w:rPr>
          <w:rFonts w:ascii="Times New Roman" w:hAnsi="Times New Roman"/>
          <w:b/>
          <w:color w:val="auto"/>
        </w:rPr>
      </w:pPr>
      <w:r w:rsidRPr="00845513">
        <w:rPr>
          <w:rFonts w:ascii="Times New Roman" w:hAnsi="Times New Roman"/>
          <w:b/>
          <w:color w:val="auto"/>
        </w:rPr>
        <w:t>«</w:t>
      </w:r>
      <w:r w:rsidRPr="00845513">
        <w:rPr>
          <w:rFonts w:ascii="Times New Roman" w:hAnsi="Times New Roman"/>
          <w:b/>
          <w:bCs/>
          <w:color w:val="auto"/>
        </w:rPr>
        <w:t>Международный менеджмент</w:t>
      </w:r>
      <w:r w:rsidRPr="00845513">
        <w:rPr>
          <w:rFonts w:ascii="Times New Roman" w:hAnsi="Times New Roman"/>
          <w:b/>
          <w:color w:val="auto"/>
        </w:rPr>
        <w:t>»</w:t>
      </w:r>
    </w:p>
    <w:p w:rsidR="00A5454E" w:rsidRPr="00845513" w:rsidRDefault="00A5454E" w:rsidP="00A5454E">
      <w:pPr>
        <w:spacing w:line="276" w:lineRule="auto"/>
        <w:ind w:firstLine="708"/>
        <w:contextualSpacing/>
        <w:jc w:val="center"/>
        <w:rPr>
          <w:rFonts w:ascii="Times New Roman" w:hAnsi="Times New Roman"/>
          <w:b/>
          <w:color w:val="auto"/>
        </w:rPr>
      </w:pPr>
    </w:p>
    <w:p w:rsidR="00A5454E" w:rsidRPr="00845513" w:rsidRDefault="00A5454E" w:rsidP="00A5454E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b/>
          <w:bCs/>
          <w:noProof/>
          <w:color w:val="auto"/>
        </w:rPr>
      </w:pPr>
      <w:r w:rsidRPr="00845513">
        <w:rPr>
          <w:rFonts w:ascii="Times New Roman" w:hAnsi="Times New Roman"/>
          <w:color w:val="auto"/>
        </w:rPr>
        <w:t>При проведении промежуточной аттестации обучающемуся предлагается дать ответы на 1</w:t>
      </w:r>
      <w:r w:rsidR="00845513" w:rsidRPr="00845513">
        <w:rPr>
          <w:rFonts w:ascii="Times New Roman" w:hAnsi="Times New Roman"/>
          <w:color w:val="auto"/>
        </w:rPr>
        <w:t>5</w:t>
      </w:r>
      <w:r w:rsidRPr="00845513">
        <w:rPr>
          <w:rFonts w:ascii="Times New Roman" w:hAnsi="Times New Roman"/>
          <w:color w:val="auto"/>
        </w:rPr>
        <w:t xml:space="preserve"> тестовых заданий из нижеприведенного списка.</w:t>
      </w:r>
    </w:p>
    <w:p w:rsidR="00A5454E" w:rsidRPr="00845513" w:rsidRDefault="00A5454E" w:rsidP="00A5454E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auto"/>
        </w:rPr>
      </w:pPr>
    </w:p>
    <w:p w:rsidR="00A5454E" w:rsidRPr="00845513" w:rsidRDefault="00A5454E" w:rsidP="00A5454E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auto"/>
        </w:rPr>
      </w:pPr>
      <w:r w:rsidRPr="00845513">
        <w:rPr>
          <w:rFonts w:ascii="Times New Roman" w:eastAsia="Calibri" w:hAnsi="Times New Roman" w:cs="Times New Roman"/>
          <w:color w:val="auto"/>
        </w:rPr>
        <w:t>Примерный перечень тестовых заданий</w:t>
      </w:r>
    </w:p>
    <w:p w:rsidR="00F9319F" w:rsidRPr="00391213" w:rsidRDefault="00F9319F" w:rsidP="00F9319F">
      <w:pPr>
        <w:pStyle w:val="1"/>
        <w:ind w:firstLine="740"/>
        <w:jc w:val="both"/>
        <w:rPr>
          <w:color w:val="auto"/>
        </w:rPr>
      </w:pP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1. Уровень конкурентоспособности международной компании определяется: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а) прибыльностью предприятий компании;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б) загрузкой производственных мощностей;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в) долей участия на мировом рынке со стабильным ростом прибыли.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2. Структура интеллектуального капитала: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а) знания, информация, бренд;</w:t>
      </w:r>
    </w:p>
    <w:p w:rsidR="006C4B9F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б) человеческий капитал, организационный капитал, потребительский капитал;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в) творческие способности, патенты, отношения с клиентами.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3. Источники финансовых ресурсов международной компании: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а) эмиссия ценных бумаг, правительственные ссуды, депозиты клиентов;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б) таможенные пошлины, приватизация, налог на добавленную стоимость;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в) ресурсы головной кампании, физических и юридических лиц принимающих стран, займы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финансовых институтов принимающих стран и третьих стран.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4. Движущие силы объединения международных компаний: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а) общность языка, культуры, исторических корней;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б) ожесточающаяся конкуренция, рост стоимости НИОКР, расширение рынков сбыта;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в) месторасположение штаб-квартир головных компаний.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5. Альянсы: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а) долгосрочные соглашения о совместной деятельности на любой из стадий производственнокоммерческого цикла, условием которых является сохранение участниками соглашения собственности своих активов и капитала;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б) соглашения, в соответствии с которыми один из участников приобретает у другого контрольный пакет акций;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в) соглашения о передаче прав на интеллектуальную собственность.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6. Трансграничные слияния: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а) соглашения о проведении совместных НИОКР;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б) соглашения об установлении уровня цен и разделе рынков;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lastRenderedPageBreak/>
        <w:t>в) соглашения об объединения части капитала одной фирмы с капиталом другой компании,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расположенной за границей.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7. Трансграничные поглощения: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а) соглашение об объединении части капитала одной фирмы с капиталом другой компании,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расположенной за границ ей;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б) приобретение функционирующей за рубежом фирмы в полную собственность международной компании;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в) приобретение международной компанией активов за рубежом.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8. Последовательность мероприятий в процессе слияния компаний: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а) согласование управленческой структуры объединенной компании, определение стратегического плана действий, оценка активов партнеров;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б) определение стратегического плана действий, согласование управленческой структуры,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оценка активов партнеров;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в) согласование слияния со штабом объединяющихся компаний, оценка активов партнеров,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определение стратегического плана действий.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9. Наименьшее распространение трансграничные слияния и поглощения получили: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а) в Японии;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б) в ЕС;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в) в США.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10. Основную роль в трансграничных слияниях и поглощениях в сфере финансовой системы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играют банки: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а) постсоциалистических государств;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б) развитых стран;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в) развивающихся государств.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11. Международный менеджмент – это теория и практика рационального руководства предприятиями в условиях коллективной деятельности за рубежом.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а) да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б) нет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в) не знаю.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12. Этапы эволюции национальной компании в международную: ТНК, СП, консорциум,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внешнеторговые сделки: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а) да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б) нет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lastRenderedPageBreak/>
        <w:t>в) не знаю.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13. Термин «международная компания» аналогичен термину «ТНК»: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а) да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б) нет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в) не знаю.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14. Активы предприятий системы ТНК связаны общей собственностью: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а) да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б) нет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в) не знаю.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15. К западному стилю менеджмента относятся самоутверждение и индивидуальная ответственность руководителей отдельных направлений бизнеса на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фирме: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а) да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б) нет</w:t>
      </w:r>
    </w:p>
    <w:p w:rsidR="00730C20" w:rsidRPr="00391213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  <w:color w:val="auto"/>
        </w:rPr>
      </w:pPr>
      <w:r w:rsidRPr="00391213">
        <w:rPr>
          <w:rFonts w:ascii="Times New Roman" w:hAnsi="Times New Roman" w:cs="Times New Roman"/>
          <w:bCs/>
          <w:noProof/>
          <w:color w:val="auto"/>
        </w:rPr>
        <w:t>в) не знаю.</w:t>
      </w:r>
    </w:p>
    <w:p w:rsidR="00845513" w:rsidRDefault="00845513" w:rsidP="00A5454E">
      <w:pPr>
        <w:pStyle w:val="1"/>
        <w:ind w:firstLine="740"/>
        <w:jc w:val="both"/>
        <w:rPr>
          <w:b/>
          <w:bCs/>
          <w:noProof/>
          <w:color w:val="auto"/>
        </w:rPr>
      </w:pPr>
    </w:p>
    <w:p w:rsidR="00A5454E" w:rsidRPr="00391213" w:rsidRDefault="00A5454E" w:rsidP="00A5454E">
      <w:pPr>
        <w:pStyle w:val="1"/>
        <w:ind w:firstLine="740"/>
        <w:jc w:val="both"/>
        <w:rPr>
          <w:b/>
          <w:color w:val="auto"/>
        </w:rPr>
      </w:pPr>
      <w:r w:rsidRPr="00391213">
        <w:rPr>
          <w:b/>
          <w:color w:val="auto"/>
        </w:rPr>
        <w:t>Примерные оценочные материалы, применяемые при проведении</w:t>
      </w:r>
      <w:r w:rsidR="006E3F30">
        <w:rPr>
          <w:b/>
          <w:color w:val="auto"/>
        </w:rPr>
        <w:t xml:space="preserve"> п</w:t>
      </w:r>
      <w:r w:rsidRPr="00391213">
        <w:rPr>
          <w:b/>
          <w:color w:val="auto"/>
        </w:rPr>
        <w:t>ромежуточной аттестации по дисциплине (модулю)</w:t>
      </w:r>
    </w:p>
    <w:p w:rsidR="00A5454E" w:rsidRPr="00391213" w:rsidRDefault="00A5454E" w:rsidP="00A5454E">
      <w:pPr>
        <w:pStyle w:val="1"/>
        <w:ind w:firstLine="740"/>
        <w:jc w:val="center"/>
        <w:rPr>
          <w:b/>
          <w:color w:val="auto"/>
        </w:rPr>
      </w:pPr>
      <w:r w:rsidRPr="00391213">
        <w:rPr>
          <w:b/>
          <w:color w:val="auto"/>
        </w:rPr>
        <w:t>«</w:t>
      </w:r>
      <w:r w:rsidR="00547DE1">
        <w:rPr>
          <w:b/>
          <w:color w:val="auto"/>
        </w:rPr>
        <w:t>Международный менеджмент</w:t>
      </w:r>
      <w:r w:rsidRPr="00391213">
        <w:rPr>
          <w:b/>
          <w:color w:val="auto"/>
        </w:rPr>
        <w:t>»</w:t>
      </w:r>
    </w:p>
    <w:p w:rsidR="00A5454E" w:rsidRPr="00391213" w:rsidRDefault="00A5454E" w:rsidP="00A5454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454E" w:rsidRPr="00391213" w:rsidRDefault="00A5454E" w:rsidP="00A5454E">
      <w:pPr>
        <w:spacing w:line="276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91213">
        <w:rPr>
          <w:rFonts w:ascii="Times New Roman" w:hAnsi="Times New Roman"/>
          <w:color w:val="auto"/>
          <w:sz w:val="28"/>
          <w:szCs w:val="28"/>
        </w:rPr>
        <w:t>При проведении промежуточной аттестации обучающемуся предлагается дать ответы на 3 вопроса, приведенных в экзаменационном билете, из нижеприведенного списка.</w:t>
      </w:r>
    </w:p>
    <w:p w:rsidR="00A5454E" w:rsidRPr="00391213" w:rsidRDefault="00A5454E" w:rsidP="00A5454E">
      <w:pPr>
        <w:tabs>
          <w:tab w:val="left" w:pos="993"/>
        </w:tabs>
        <w:ind w:left="927"/>
        <w:jc w:val="both"/>
        <w:rPr>
          <w:rFonts w:ascii="Times New Roman" w:eastAsia="Calibri" w:hAnsi="Times New Roman" w:cs="Times New Roman"/>
          <w:b/>
          <w:bCs/>
          <w:noProof/>
          <w:color w:val="auto"/>
        </w:rPr>
      </w:pPr>
    </w:p>
    <w:p w:rsidR="00A5454E" w:rsidRPr="00391213" w:rsidRDefault="00A5454E" w:rsidP="00A5454E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91213">
        <w:rPr>
          <w:rFonts w:ascii="Times New Roman" w:eastAsia="Calibri" w:hAnsi="Times New Roman" w:cs="Times New Roman"/>
          <w:color w:val="auto"/>
          <w:sz w:val="28"/>
          <w:szCs w:val="28"/>
        </w:rPr>
        <w:t>Примерный перечень вопросов:</w:t>
      </w:r>
    </w:p>
    <w:p w:rsidR="006E3F30" w:rsidRPr="00B61505" w:rsidRDefault="006E3F30">
      <w:pPr>
        <w:rPr>
          <w:rFonts w:ascii="Times New Roman" w:hAnsi="Times New Roman" w:cs="Times New Roman"/>
          <w:color w:val="auto"/>
        </w:rPr>
      </w:pP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1.</w:t>
      </w:r>
      <w:r w:rsidRPr="00B61505">
        <w:rPr>
          <w:sz w:val="28"/>
          <w:szCs w:val="28"/>
        </w:rPr>
        <w:tab/>
        <w:t xml:space="preserve">Основные понятия и роль международного менеджмента.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2.</w:t>
      </w:r>
      <w:r w:rsidRPr="00B61505">
        <w:rPr>
          <w:sz w:val="28"/>
          <w:szCs w:val="28"/>
        </w:rPr>
        <w:tab/>
        <w:t xml:space="preserve">Предпосылки международного менеджмента.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3.</w:t>
      </w:r>
      <w:r w:rsidRPr="00B61505">
        <w:rPr>
          <w:sz w:val="28"/>
          <w:szCs w:val="28"/>
        </w:rPr>
        <w:tab/>
        <w:t xml:space="preserve">Специфика международного менеджмента.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4.</w:t>
      </w:r>
      <w:r w:rsidRPr="00B61505">
        <w:rPr>
          <w:sz w:val="28"/>
          <w:szCs w:val="28"/>
        </w:rPr>
        <w:tab/>
        <w:t xml:space="preserve">Понятие международного бизнеса. Этапы развития международного бизнеса.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5.</w:t>
      </w:r>
      <w:r w:rsidRPr="00B61505">
        <w:rPr>
          <w:sz w:val="28"/>
          <w:szCs w:val="28"/>
        </w:rPr>
        <w:tab/>
        <w:t xml:space="preserve">Виды и основные черты международного бизнеса.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6.</w:t>
      </w:r>
      <w:r w:rsidRPr="00B61505">
        <w:rPr>
          <w:sz w:val="28"/>
          <w:szCs w:val="28"/>
        </w:rPr>
        <w:tab/>
        <w:t xml:space="preserve">Мотивация международного бизнеса.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7.</w:t>
      </w:r>
      <w:r w:rsidRPr="00B61505">
        <w:rPr>
          <w:sz w:val="28"/>
          <w:szCs w:val="28"/>
        </w:rPr>
        <w:tab/>
        <w:t>Международные компании и их роль в процессе глобализации.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8.</w:t>
      </w:r>
      <w:r w:rsidRPr="00B61505">
        <w:rPr>
          <w:sz w:val="28"/>
          <w:szCs w:val="28"/>
        </w:rPr>
        <w:tab/>
        <w:t xml:space="preserve">Организационные формы международных компаний.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9.</w:t>
      </w:r>
      <w:r w:rsidRPr="00B61505">
        <w:rPr>
          <w:sz w:val="28"/>
          <w:szCs w:val="28"/>
        </w:rPr>
        <w:tab/>
        <w:t xml:space="preserve">Основные структурные элементы международных компаний.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10.</w:t>
      </w:r>
      <w:r w:rsidRPr="00B61505">
        <w:rPr>
          <w:sz w:val="28"/>
          <w:szCs w:val="28"/>
        </w:rPr>
        <w:tab/>
        <w:t xml:space="preserve">Уровни управления в международных компаниях.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11.</w:t>
      </w:r>
      <w:r w:rsidRPr="00B61505">
        <w:rPr>
          <w:sz w:val="28"/>
          <w:szCs w:val="28"/>
        </w:rPr>
        <w:tab/>
        <w:t xml:space="preserve">Планирование деятельности международной компании.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lastRenderedPageBreak/>
        <w:t>12.</w:t>
      </w:r>
      <w:r w:rsidRPr="00B61505">
        <w:rPr>
          <w:sz w:val="28"/>
          <w:szCs w:val="28"/>
        </w:rPr>
        <w:tab/>
        <w:t xml:space="preserve">Стратегическое планирование в международной компании.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13.</w:t>
      </w:r>
      <w:r w:rsidRPr="00B61505">
        <w:rPr>
          <w:sz w:val="28"/>
          <w:szCs w:val="28"/>
        </w:rPr>
        <w:tab/>
        <w:t xml:space="preserve">Организация процесса планирования.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14.</w:t>
      </w:r>
      <w:r w:rsidRPr="00B61505">
        <w:rPr>
          <w:sz w:val="28"/>
          <w:szCs w:val="28"/>
        </w:rPr>
        <w:tab/>
        <w:t xml:space="preserve">Особенности реализации функции контроля в международных компаниях.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15.</w:t>
      </w:r>
      <w:r w:rsidRPr="00B61505">
        <w:rPr>
          <w:sz w:val="28"/>
          <w:szCs w:val="28"/>
        </w:rPr>
        <w:tab/>
        <w:t>Формы контроля в международных компаниях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16.</w:t>
      </w:r>
      <w:r w:rsidRPr="00B61505">
        <w:rPr>
          <w:sz w:val="28"/>
          <w:szCs w:val="28"/>
        </w:rPr>
        <w:tab/>
        <w:t xml:space="preserve">Международный бизнес фирмы и ее конкурентные преимущества.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17.</w:t>
      </w:r>
      <w:r w:rsidRPr="00B61505">
        <w:rPr>
          <w:sz w:val="28"/>
          <w:szCs w:val="28"/>
        </w:rPr>
        <w:tab/>
        <w:t xml:space="preserve">Базовые модели вхождения МНК на международные рынки.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18.</w:t>
      </w:r>
      <w:r w:rsidRPr="00B61505">
        <w:rPr>
          <w:sz w:val="28"/>
          <w:szCs w:val="28"/>
        </w:rPr>
        <w:tab/>
        <w:t xml:space="preserve">Особенности международных операций фирм.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19.</w:t>
      </w:r>
      <w:r w:rsidRPr="00B61505">
        <w:rPr>
          <w:sz w:val="28"/>
          <w:szCs w:val="28"/>
        </w:rPr>
        <w:tab/>
        <w:t xml:space="preserve">Базовые стратегии прямых зарубежных инвестиций.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20.</w:t>
      </w:r>
      <w:r w:rsidRPr="00B61505">
        <w:rPr>
          <w:sz w:val="28"/>
          <w:szCs w:val="28"/>
        </w:rPr>
        <w:tab/>
        <w:t xml:space="preserve">Развитие международного менеджмента в России.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21.</w:t>
      </w:r>
      <w:r w:rsidRPr="00B61505">
        <w:rPr>
          <w:sz w:val="28"/>
          <w:szCs w:val="28"/>
        </w:rPr>
        <w:tab/>
        <w:t xml:space="preserve">Виды и факторы развития внешнеэкономической деятельности.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22.</w:t>
      </w:r>
      <w:r w:rsidRPr="00B61505">
        <w:rPr>
          <w:sz w:val="28"/>
          <w:szCs w:val="28"/>
        </w:rPr>
        <w:tab/>
        <w:t xml:space="preserve">Особенности внешнеэкономической деятельности в России.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23.</w:t>
      </w:r>
      <w:r w:rsidRPr="00B61505">
        <w:rPr>
          <w:sz w:val="28"/>
          <w:szCs w:val="28"/>
        </w:rPr>
        <w:tab/>
        <w:t>Государственное регулирование и управление внешнеэкономической деятельностью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24.</w:t>
      </w:r>
      <w:r w:rsidRPr="00B61505">
        <w:rPr>
          <w:sz w:val="28"/>
          <w:szCs w:val="28"/>
        </w:rPr>
        <w:tab/>
        <w:t xml:space="preserve">Основные понятия и организация таможенного регулирования и таможенного дела.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25.</w:t>
      </w:r>
      <w:r w:rsidRPr="00B61505">
        <w:rPr>
          <w:sz w:val="28"/>
          <w:szCs w:val="28"/>
        </w:rPr>
        <w:tab/>
        <w:t xml:space="preserve">Таможенные платежи и методы определения таможенной стоимости.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26.</w:t>
      </w:r>
      <w:r w:rsidRPr="00B61505">
        <w:rPr>
          <w:sz w:val="28"/>
          <w:szCs w:val="28"/>
        </w:rPr>
        <w:tab/>
        <w:t xml:space="preserve">Таможенные процедуры.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27.</w:t>
      </w:r>
      <w:r w:rsidRPr="00B61505">
        <w:rPr>
          <w:sz w:val="28"/>
          <w:szCs w:val="28"/>
        </w:rPr>
        <w:tab/>
        <w:t>Таможенное декларирование товаров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28.</w:t>
      </w:r>
      <w:r w:rsidRPr="00B61505">
        <w:rPr>
          <w:sz w:val="28"/>
          <w:szCs w:val="28"/>
        </w:rPr>
        <w:tab/>
        <w:t xml:space="preserve">Понятие и виды международных коммерческих операций.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29.</w:t>
      </w:r>
      <w:r w:rsidRPr="00B61505">
        <w:rPr>
          <w:sz w:val="28"/>
          <w:szCs w:val="28"/>
        </w:rPr>
        <w:tab/>
        <w:t xml:space="preserve">Виды и объекты международных сделок.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30.</w:t>
      </w:r>
      <w:r w:rsidRPr="00B61505">
        <w:rPr>
          <w:sz w:val="28"/>
          <w:szCs w:val="28"/>
        </w:rPr>
        <w:tab/>
        <w:t>Международные торгово-посреднические операции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31.</w:t>
      </w:r>
      <w:r w:rsidRPr="00B61505">
        <w:rPr>
          <w:sz w:val="28"/>
          <w:szCs w:val="28"/>
        </w:rPr>
        <w:tab/>
        <w:t xml:space="preserve">Понятие, содержание и классификация международных перевозок.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32.</w:t>
      </w:r>
      <w:r w:rsidRPr="00B61505">
        <w:rPr>
          <w:sz w:val="28"/>
          <w:szCs w:val="28"/>
        </w:rPr>
        <w:tab/>
        <w:t xml:space="preserve">Особенности организации международных перевозок и оказания транспортных услуг.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33.</w:t>
      </w:r>
      <w:r w:rsidRPr="00B61505">
        <w:rPr>
          <w:sz w:val="28"/>
          <w:szCs w:val="28"/>
        </w:rPr>
        <w:tab/>
        <w:t xml:space="preserve">Нормативно-правовое обеспечение международных перевозок.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34.</w:t>
      </w:r>
      <w:r w:rsidRPr="00B61505">
        <w:rPr>
          <w:sz w:val="28"/>
          <w:szCs w:val="28"/>
        </w:rPr>
        <w:tab/>
        <w:t>Международные транспортные коридоры (МТК).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35.</w:t>
      </w:r>
      <w:r w:rsidRPr="00B61505">
        <w:rPr>
          <w:sz w:val="28"/>
          <w:szCs w:val="28"/>
        </w:rPr>
        <w:tab/>
        <w:t xml:space="preserve">Сущность международного маркетинга.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36.</w:t>
      </w:r>
      <w:r w:rsidRPr="00B61505">
        <w:rPr>
          <w:sz w:val="28"/>
          <w:szCs w:val="28"/>
        </w:rPr>
        <w:tab/>
        <w:t xml:space="preserve">Маркетинговые стратегии в международном бизнесе.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37.</w:t>
      </w:r>
      <w:r w:rsidRPr="00B61505">
        <w:rPr>
          <w:sz w:val="28"/>
          <w:szCs w:val="28"/>
        </w:rPr>
        <w:tab/>
        <w:t xml:space="preserve">Этапы развития интернационализации маркетинговой деятельности.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38.</w:t>
      </w:r>
      <w:r w:rsidRPr="00B61505">
        <w:rPr>
          <w:sz w:val="28"/>
          <w:szCs w:val="28"/>
        </w:rPr>
        <w:tab/>
        <w:t xml:space="preserve">Маркетинговые исследования мировых рынков.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39.</w:t>
      </w:r>
      <w:r w:rsidRPr="00B61505">
        <w:rPr>
          <w:sz w:val="28"/>
          <w:szCs w:val="28"/>
        </w:rPr>
        <w:tab/>
        <w:t>Маркетинговые коммуникации в международном бизнесе.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40.</w:t>
      </w:r>
      <w:r w:rsidRPr="00B61505">
        <w:rPr>
          <w:sz w:val="28"/>
          <w:szCs w:val="28"/>
        </w:rPr>
        <w:tab/>
        <w:t xml:space="preserve">Сущность международного финансового менеджмента.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41.</w:t>
      </w:r>
      <w:r w:rsidRPr="00B61505">
        <w:rPr>
          <w:sz w:val="28"/>
          <w:szCs w:val="28"/>
        </w:rPr>
        <w:tab/>
        <w:t xml:space="preserve">Состав финансовых ресурсов и капитала.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42.</w:t>
      </w:r>
      <w:r w:rsidRPr="00B61505">
        <w:rPr>
          <w:sz w:val="28"/>
          <w:szCs w:val="28"/>
        </w:rPr>
        <w:tab/>
        <w:t>Управление стоимостью в международном бизнесе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lastRenderedPageBreak/>
        <w:t>43.</w:t>
      </w:r>
      <w:r w:rsidRPr="00B61505">
        <w:rPr>
          <w:sz w:val="28"/>
          <w:szCs w:val="28"/>
        </w:rPr>
        <w:tab/>
        <w:t xml:space="preserve">Сущность и содержание риска в международной предпринимательской деятельности.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44.</w:t>
      </w:r>
      <w:r w:rsidRPr="00B61505">
        <w:rPr>
          <w:sz w:val="28"/>
          <w:szCs w:val="28"/>
        </w:rPr>
        <w:tab/>
        <w:t xml:space="preserve">Теория управления рисками.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45.</w:t>
      </w:r>
      <w:r w:rsidRPr="00B61505">
        <w:rPr>
          <w:sz w:val="28"/>
          <w:szCs w:val="28"/>
        </w:rPr>
        <w:tab/>
        <w:t>Стратегии управления рисками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46.</w:t>
      </w:r>
      <w:r w:rsidRPr="00B61505">
        <w:rPr>
          <w:sz w:val="28"/>
          <w:szCs w:val="28"/>
        </w:rPr>
        <w:tab/>
        <w:t xml:space="preserve">Концепции корпоративной социальной ответственности бизнеса.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47.</w:t>
      </w:r>
      <w:r w:rsidRPr="00B61505">
        <w:rPr>
          <w:sz w:val="28"/>
          <w:szCs w:val="28"/>
        </w:rPr>
        <w:tab/>
        <w:t xml:space="preserve">Система менеджмента корпоративной социальной ответственности.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48.</w:t>
      </w:r>
      <w:r w:rsidRPr="00B61505">
        <w:rPr>
          <w:sz w:val="28"/>
          <w:szCs w:val="28"/>
        </w:rPr>
        <w:tab/>
        <w:t>Модели корпоративной социальной ответственности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49.</w:t>
      </w:r>
      <w:r w:rsidRPr="00B61505">
        <w:rPr>
          <w:sz w:val="28"/>
          <w:szCs w:val="28"/>
        </w:rPr>
        <w:tab/>
        <w:t xml:space="preserve">Основные подходы к управлению персоналом международной компании.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50.</w:t>
      </w:r>
      <w:r w:rsidRPr="00B61505">
        <w:rPr>
          <w:sz w:val="28"/>
          <w:szCs w:val="28"/>
        </w:rPr>
        <w:tab/>
        <w:t xml:space="preserve">Управление мотивацией в международном менеджменте.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51.</w:t>
      </w:r>
      <w:r w:rsidRPr="00B61505">
        <w:rPr>
          <w:sz w:val="28"/>
          <w:szCs w:val="28"/>
        </w:rPr>
        <w:tab/>
        <w:t xml:space="preserve">Мотивация персонала в различных культурах.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52.</w:t>
      </w:r>
      <w:r w:rsidRPr="00B61505">
        <w:rPr>
          <w:sz w:val="28"/>
          <w:szCs w:val="28"/>
        </w:rPr>
        <w:tab/>
        <w:t xml:space="preserve">Системы мотивации персонала в европейских странах.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53.</w:t>
      </w:r>
      <w:r w:rsidRPr="00B61505">
        <w:rPr>
          <w:sz w:val="28"/>
          <w:szCs w:val="28"/>
        </w:rPr>
        <w:tab/>
        <w:t xml:space="preserve">Традиционная японская модель мотивации персонала.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54.</w:t>
      </w:r>
      <w:r w:rsidRPr="00B61505">
        <w:rPr>
          <w:sz w:val="28"/>
          <w:szCs w:val="28"/>
        </w:rPr>
        <w:tab/>
        <w:t>Американский опыт мотивации персонала.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55.</w:t>
      </w:r>
      <w:r w:rsidRPr="00B61505">
        <w:rPr>
          <w:sz w:val="28"/>
          <w:szCs w:val="28"/>
        </w:rPr>
        <w:tab/>
        <w:t xml:space="preserve">Понятие и элементы корпоративной культуры.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56.</w:t>
      </w:r>
      <w:r w:rsidRPr="00B61505">
        <w:rPr>
          <w:sz w:val="28"/>
          <w:szCs w:val="28"/>
        </w:rPr>
        <w:tab/>
        <w:t xml:space="preserve">Американская, японская и европейские модели менеджмента.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57.</w:t>
      </w:r>
      <w:r w:rsidRPr="00B61505">
        <w:rPr>
          <w:sz w:val="28"/>
          <w:szCs w:val="28"/>
        </w:rPr>
        <w:tab/>
        <w:t xml:space="preserve">Американская модель менеджмента.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58.</w:t>
      </w:r>
      <w:r w:rsidRPr="00B61505">
        <w:rPr>
          <w:sz w:val="28"/>
          <w:szCs w:val="28"/>
        </w:rPr>
        <w:tab/>
        <w:t xml:space="preserve">Японская модель менеджмента.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59.</w:t>
      </w:r>
      <w:r w:rsidRPr="00B61505">
        <w:rPr>
          <w:sz w:val="28"/>
          <w:szCs w:val="28"/>
        </w:rPr>
        <w:tab/>
        <w:t>Европейские модели менеджмента.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60.</w:t>
      </w:r>
      <w:r w:rsidRPr="00B61505">
        <w:rPr>
          <w:sz w:val="28"/>
          <w:szCs w:val="28"/>
        </w:rPr>
        <w:tab/>
        <w:t xml:space="preserve">Инструменты международного маркетинга во внешнеэкономической деятельности.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61.</w:t>
      </w:r>
      <w:r w:rsidRPr="00B61505">
        <w:rPr>
          <w:sz w:val="28"/>
          <w:szCs w:val="28"/>
        </w:rPr>
        <w:tab/>
        <w:t xml:space="preserve">Изучение внешней и внутренней среды предприятия.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62.</w:t>
      </w:r>
      <w:r w:rsidRPr="00B61505">
        <w:rPr>
          <w:sz w:val="28"/>
          <w:szCs w:val="28"/>
        </w:rPr>
        <w:tab/>
        <w:t>Планирование и оценка внешнеэкономической деятельности предприятия.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63.</w:t>
      </w:r>
      <w:r w:rsidRPr="00B61505">
        <w:rPr>
          <w:sz w:val="28"/>
          <w:szCs w:val="28"/>
        </w:rPr>
        <w:tab/>
        <w:t xml:space="preserve">Классификация контрагентов, действующих на мировом рынке.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64.</w:t>
      </w:r>
      <w:r w:rsidRPr="00B61505">
        <w:rPr>
          <w:sz w:val="28"/>
          <w:szCs w:val="28"/>
        </w:rPr>
        <w:tab/>
        <w:t xml:space="preserve">Факторы, определяющие выбор иностранного партнера.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65.</w:t>
      </w:r>
      <w:r w:rsidRPr="00B61505">
        <w:rPr>
          <w:sz w:val="28"/>
          <w:szCs w:val="28"/>
        </w:rPr>
        <w:tab/>
        <w:t>Организация работы по изучению контрагентов.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66.</w:t>
      </w:r>
      <w:r w:rsidRPr="00B61505">
        <w:rPr>
          <w:sz w:val="28"/>
          <w:szCs w:val="28"/>
        </w:rPr>
        <w:tab/>
        <w:t xml:space="preserve">Понятие и особенности мировых цен.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67.</w:t>
      </w:r>
      <w:r w:rsidRPr="00B61505">
        <w:rPr>
          <w:sz w:val="28"/>
          <w:szCs w:val="28"/>
        </w:rPr>
        <w:tab/>
        <w:t xml:space="preserve">Источники информации по ценам мирового рынка.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68.</w:t>
      </w:r>
      <w:r w:rsidRPr="00B61505">
        <w:rPr>
          <w:sz w:val="28"/>
          <w:szCs w:val="28"/>
        </w:rPr>
        <w:tab/>
        <w:t xml:space="preserve">Формирование контрактной цены.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69.</w:t>
      </w:r>
      <w:r w:rsidRPr="00B61505">
        <w:rPr>
          <w:sz w:val="28"/>
          <w:szCs w:val="28"/>
        </w:rPr>
        <w:tab/>
        <w:t xml:space="preserve">Прогнозирование цен.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70.</w:t>
      </w:r>
      <w:r w:rsidRPr="00B61505">
        <w:rPr>
          <w:sz w:val="28"/>
          <w:szCs w:val="28"/>
        </w:rPr>
        <w:tab/>
        <w:t>Переговоры по согласованию цен с зарубежными партнерами.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71.</w:t>
      </w:r>
      <w:r w:rsidRPr="00B61505">
        <w:rPr>
          <w:sz w:val="28"/>
          <w:szCs w:val="28"/>
        </w:rPr>
        <w:tab/>
        <w:t>Подготовка и оформление сделок.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72.</w:t>
      </w:r>
      <w:r w:rsidRPr="00B61505">
        <w:rPr>
          <w:sz w:val="28"/>
          <w:szCs w:val="28"/>
        </w:rPr>
        <w:tab/>
        <w:t xml:space="preserve">Виды и условия внешнеторговых контрактов.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73.</w:t>
      </w:r>
      <w:r w:rsidRPr="00B61505">
        <w:rPr>
          <w:sz w:val="28"/>
          <w:szCs w:val="28"/>
        </w:rPr>
        <w:tab/>
        <w:t>Исполнение внешнеторговых сделок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74.</w:t>
      </w:r>
      <w:r w:rsidRPr="00B61505">
        <w:rPr>
          <w:sz w:val="28"/>
          <w:szCs w:val="28"/>
        </w:rPr>
        <w:tab/>
        <w:t xml:space="preserve">Структура страхования внешнеэкономической деятельности.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lastRenderedPageBreak/>
        <w:t>75.</w:t>
      </w:r>
      <w:r w:rsidRPr="00B61505">
        <w:rPr>
          <w:sz w:val="28"/>
          <w:szCs w:val="28"/>
        </w:rPr>
        <w:tab/>
        <w:t xml:space="preserve">Страхование и внешнеторговый контракт.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76.</w:t>
      </w:r>
      <w:r w:rsidRPr="00B61505">
        <w:rPr>
          <w:sz w:val="28"/>
          <w:szCs w:val="28"/>
        </w:rPr>
        <w:tab/>
        <w:t xml:space="preserve">Транспортное страхование грузов (страхование карго). Страхование транспортных средств (каско).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77.</w:t>
      </w:r>
      <w:r w:rsidRPr="00B61505">
        <w:rPr>
          <w:sz w:val="28"/>
          <w:szCs w:val="28"/>
        </w:rPr>
        <w:tab/>
        <w:t xml:space="preserve">Страхование контейнеров.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78.</w:t>
      </w:r>
      <w:r w:rsidRPr="00B61505">
        <w:rPr>
          <w:sz w:val="28"/>
          <w:szCs w:val="28"/>
        </w:rPr>
        <w:tab/>
        <w:t xml:space="preserve">Страхование ответственности перевозчиков.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79.</w:t>
      </w:r>
      <w:r w:rsidRPr="00B61505">
        <w:rPr>
          <w:sz w:val="28"/>
          <w:szCs w:val="28"/>
        </w:rPr>
        <w:tab/>
        <w:t>Страхование экспортных кредитов.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80.</w:t>
      </w:r>
      <w:r w:rsidRPr="00B61505">
        <w:rPr>
          <w:sz w:val="28"/>
          <w:szCs w:val="28"/>
        </w:rPr>
        <w:tab/>
        <w:t xml:space="preserve">Сущность </w:t>
      </w:r>
      <w:proofErr w:type="spellStart"/>
      <w:r w:rsidRPr="00B61505">
        <w:rPr>
          <w:sz w:val="28"/>
          <w:szCs w:val="28"/>
        </w:rPr>
        <w:t>сострахования</w:t>
      </w:r>
      <w:proofErr w:type="spellEnd"/>
      <w:r w:rsidRPr="00B61505">
        <w:rPr>
          <w:sz w:val="28"/>
          <w:szCs w:val="28"/>
        </w:rPr>
        <w:t xml:space="preserve"> и перестрахования.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81.</w:t>
      </w:r>
      <w:r w:rsidRPr="00B61505">
        <w:rPr>
          <w:sz w:val="28"/>
          <w:szCs w:val="28"/>
        </w:rPr>
        <w:tab/>
        <w:t xml:space="preserve">Процесс передачи рисков в перестрахование.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82.</w:t>
      </w:r>
      <w:r w:rsidRPr="00B61505">
        <w:rPr>
          <w:sz w:val="28"/>
          <w:szCs w:val="28"/>
        </w:rPr>
        <w:tab/>
        <w:t xml:space="preserve">Активное и пассивное перестрахование.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83.</w:t>
      </w:r>
      <w:r w:rsidRPr="00B61505">
        <w:rPr>
          <w:sz w:val="28"/>
          <w:szCs w:val="28"/>
        </w:rPr>
        <w:tab/>
        <w:t xml:space="preserve">Формы перестрахования.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84.</w:t>
      </w:r>
      <w:r w:rsidRPr="00B61505">
        <w:rPr>
          <w:sz w:val="28"/>
          <w:szCs w:val="28"/>
        </w:rPr>
        <w:tab/>
        <w:t xml:space="preserve">Пропорциональное перестрахование. </w:t>
      </w:r>
    </w:p>
    <w:p w:rsidR="00B61505" w:rsidRPr="00B61505" w:rsidRDefault="00B61505" w:rsidP="00B61505">
      <w:pPr>
        <w:pStyle w:val="1"/>
        <w:ind w:firstLine="740"/>
        <w:jc w:val="both"/>
        <w:rPr>
          <w:sz w:val="28"/>
          <w:szCs w:val="28"/>
        </w:rPr>
      </w:pPr>
      <w:r w:rsidRPr="00B61505">
        <w:rPr>
          <w:sz w:val="28"/>
          <w:szCs w:val="28"/>
        </w:rPr>
        <w:t>85.</w:t>
      </w:r>
      <w:r w:rsidRPr="00B61505">
        <w:rPr>
          <w:sz w:val="28"/>
          <w:szCs w:val="28"/>
        </w:rPr>
        <w:tab/>
        <w:t>Непропорциональное перестрахование</w:t>
      </w:r>
    </w:p>
    <w:p w:rsidR="00EF3A39" w:rsidRPr="00B9429F" w:rsidRDefault="00EF3A39" w:rsidP="00B61505">
      <w:pPr>
        <w:pStyle w:val="1"/>
        <w:ind w:firstLine="740"/>
        <w:jc w:val="both"/>
        <w:rPr>
          <w:b/>
          <w:color w:val="FF0000"/>
        </w:rPr>
      </w:pPr>
      <w:r w:rsidRPr="00B9429F">
        <w:rPr>
          <w:b/>
          <w:sz w:val="28"/>
          <w:szCs w:val="28"/>
        </w:rPr>
        <w:t>Примерные оценочные материалы, применяемые при проведении</w:t>
      </w:r>
      <w:r>
        <w:rPr>
          <w:b/>
          <w:sz w:val="28"/>
          <w:szCs w:val="28"/>
        </w:rPr>
        <w:t xml:space="preserve"> </w:t>
      </w:r>
      <w:r w:rsidRPr="00B9429F">
        <w:rPr>
          <w:b/>
          <w:sz w:val="28"/>
          <w:szCs w:val="28"/>
        </w:rPr>
        <w:t>промежуточной аттестации по дисциплине (модулю)</w:t>
      </w:r>
    </w:p>
    <w:p w:rsidR="00EF3A39" w:rsidRPr="00B9429F" w:rsidRDefault="00EF3A39" w:rsidP="00EF3A39">
      <w:pPr>
        <w:rPr>
          <w:b/>
        </w:rPr>
      </w:pPr>
    </w:p>
    <w:p w:rsidR="00EF3A39" w:rsidRDefault="00EF3A39" w:rsidP="00EF3A39">
      <w:pPr>
        <w:spacing w:line="276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E470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Международный менеджмент</w:t>
      </w:r>
      <w:r w:rsidRPr="00CE4700">
        <w:rPr>
          <w:rFonts w:ascii="Times New Roman" w:hAnsi="Times New Roman"/>
          <w:b/>
          <w:sz w:val="28"/>
          <w:szCs w:val="28"/>
        </w:rPr>
        <w:t>»</w:t>
      </w:r>
    </w:p>
    <w:p w:rsidR="00EF3A39" w:rsidRDefault="00EF3A39" w:rsidP="00EF3A39">
      <w:pPr>
        <w:spacing w:line="276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3A39" w:rsidRDefault="00EF3A39" w:rsidP="00EF3A39">
      <w:pPr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промежуточной аттестации обучающемуся предлагается написать курсовую по одной из предложенных тем.</w:t>
      </w:r>
    </w:p>
    <w:p w:rsidR="00EF3A39" w:rsidRDefault="00EF3A39" w:rsidP="00EF3A39">
      <w:pPr>
        <w:spacing w:before="120" w:line="240" w:lineRule="atLeast"/>
        <w:jc w:val="both"/>
        <w:rPr>
          <w:rFonts w:ascii="Times New Roman" w:hAnsi="Times New Roman" w:cs="Times New Roman"/>
        </w:rPr>
      </w:pPr>
    </w:p>
    <w:p w:rsidR="00EF3A39" w:rsidRPr="00B722C0" w:rsidRDefault="00EF3A39" w:rsidP="00EF3A39">
      <w:pPr>
        <w:spacing w:before="120" w:line="240" w:lineRule="atLeast"/>
        <w:jc w:val="center"/>
        <w:rPr>
          <w:rFonts w:ascii="Times New Roman" w:hAnsi="Times New Roman" w:cs="Times New Roman"/>
          <w:bCs/>
          <w:noProof/>
          <w:sz w:val="26"/>
          <w:szCs w:val="26"/>
        </w:rPr>
      </w:pPr>
      <w:r w:rsidRPr="00B722C0">
        <w:rPr>
          <w:rFonts w:ascii="Times New Roman" w:hAnsi="Times New Roman" w:cs="Times New Roman"/>
          <w:bCs/>
          <w:noProof/>
          <w:sz w:val="26"/>
          <w:szCs w:val="26"/>
        </w:rPr>
        <w:t>Примерная тематика курсовых проектов (работ)</w:t>
      </w:r>
      <w:r>
        <w:rPr>
          <w:rFonts w:ascii="Times New Roman" w:hAnsi="Times New Roman" w:cs="Times New Roman"/>
          <w:bCs/>
          <w:noProof/>
          <w:sz w:val="26"/>
          <w:szCs w:val="26"/>
        </w:rPr>
        <w:t>:</w:t>
      </w:r>
    </w:p>
    <w:p w:rsidR="00EF3A39" w:rsidRPr="00391213" w:rsidRDefault="00EF3A39" w:rsidP="00EF3A39">
      <w:pPr>
        <w:spacing w:before="120" w:line="240" w:lineRule="atLeast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391213">
        <w:rPr>
          <w:rFonts w:ascii="Times New Roman" w:hAnsi="Times New Roman" w:cs="Times New Roman"/>
          <w:noProof/>
          <w:color w:val="auto"/>
          <w:sz w:val="26"/>
          <w:szCs w:val="26"/>
        </w:rPr>
        <w:t>1. Экспортный потенциал региона: особенности формирования в нестабильной экономике.</w:t>
      </w:r>
    </w:p>
    <w:p w:rsidR="00EF3A39" w:rsidRPr="00391213" w:rsidRDefault="00EF3A39" w:rsidP="00EF3A39">
      <w:pPr>
        <w:spacing w:before="120" w:line="240" w:lineRule="atLeast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391213">
        <w:rPr>
          <w:rFonts w:ascii="Times New Roman" w:hAnsi="Times New Roman" w:cs="Times New Roman"/>
          <w:noProof/>
          <w:color w:val="auto"/>
          <w:sz w:val="26"/>
          <w:szCs w:val="26"/>
        </w:rPr>
        <w:t>2. Внешняя торговля в экономике Российской Федерации.</w:t>
      </w:r>
    </w:p>
    <w:p w:rsidR="00EF3A39" w:rsidRPr="00391213" w:rsidRDefault="00EF3A39" w:rsidP="00EF3A39">
      <w:pPr>
        <w:spacing w:before="120" w:line="240" w:lineRule="atLeast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391213">
        <w:rPr>
          <w:rFonts w:ascii="Times New Roman" w:hAnsi="Times New Roman" w:cs="Times New Roman"/>
          <w:noProof/>
          <w:color w:val="auto"/>
          <w:sz w:val="26"/>
          <w:szCs w:val="26"/>
        </w:rPr>
        <w:t>3. Лизинг, как форма совместной предпринимательской деятельности.</w:t>
      </w:r>
    </w:p>
    <w:p w:rsidR="00EF3A39" w:rsidRPr="00391213" w:rsidRDefault="00EF3A39" w:rsidP="00EF3A39">
      <w:pPr>
        <w:spacing w:before="120" w:line="240" w:lineRule="atLeast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391213">
        <w:rPr>
          <w:rFonts w:ascii="Times New Roman" w:hAnsi="Times New Roman" w:cs="Times New Roman"/>
          <w:noProof/>
          <w:color w:val="auto"/>
          <w:sz w:val="26"/>
          <w:szCs w:val="26"/>
        </w:rPr>
        <w:t>4. Внешнеэкономическая деятельность предприятия по отраслям промышленности Российской Федерации (машиностроение, легкая, пищевая и т.д.).</w:t>
      </w:r>
    </w:p>
    <w:p w:rsidR="00EF3A39" w:rsidRPr="00391213" w:rsidRDefault="00EF3A39" w:rsidP="00EF3A39">
      <w:pPr>
        <w:spacing w:before="120" w:line="240" w:lineRule="atLeast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391213">
        <w:rPr>
          <w:rFonts w:ascii="Times New Roman" w:hAnsi="Times New Roman" w:cs="Times New Roman"/>
          <w:noProof/>
          <w:color w:val="auto"/>
          <w:sz w:val="26"/>
          <w:szCs w:val="26"/>
        </w:rPr>
        <w:t>5. Энергетические ресурсы как объект внешнеэкономической деятельности. (другие специфичные товары)</w:t>
      </w:r>
    </w:p>
    <w:p w:rsidR="00EF3A39" w:rsidRPr="00391213" w:rsidRDefault="00EF3A39" w:rsidP="00EF3A39">
      <w:pPr>
        <w:spacing w:before="120" w:line="240" w:lineRule="atLeast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391213">
        <w:rPr>
          <w:rFonts w:ascii="Times New Roman" w:hAnsi="Times New Roman" w:cs="Times New Roman"/>
          <w:noProof/>
          <w:color w:val="auto"/>
          <w:sz w:val="26"/>
          <w:szCs w:val="26"/>
        </w:rPr>
        <w:t>6. Франчайзинг как форма предпринимательской деятельности.</w:t>
      </w:r>
    </w:p>
    <w:p w:rsidR="00EF3A39" w:rsidRPr="00391213" w:rsidRDefault="00EF3A39" w:rsidP="00EF3A39">
      <w:pPr>
        <w:spacing w:before="120" w:line="240" w:lineRule="atLeast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391213">
        <w:rPr>
          <w:rFonts w:ascii="Times New Roman" w:hAnsi="Times New Roman" w:cs="Times New Roman"/>
          <w:noProof/>
          <w:color w:val="auto"/>
          <w:sz w:val="26"/>
          <w:szCs w:val="26"/>
        </w:rPr>
        <w:t>7. Встречные сделки во внешнеэкономической деятельности предприятия.</w:t>
      </w:r>
    </w:p>
    <w:p w:rsidR="00EF3A39" w:rsidRPr="00391213" w:rsidRDefault="00EF3A39" w:rsidP="00EF3A39">
      <w:pPr>
        <w:spacing w:before="120" w:line="240" w:lineRule="atLeast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391213">
        <w:rPr>
          <w:rFonts w:ascii="Times New Roman" w:hAnsi="Times New Roman" w:cs="Times New Roman"/>
          <w:noProof/>
          <w:color w:val="auto"/>
          <w:sz w:val="26"/>
          <w:szCs w:val="26"/>
        </w:rPr>
        <w:t>8. Возможности расширения российского экспорта на рынке США и Канады. (другие рынки)</w:t>
      </w:r>
    </w:p>
    <w:p w:rsidR="00EF3A39" w:rsidRPr="00391213" w:rsidRDefault="00EF3A39" w:rsidP="00EF3A39">
      <w:pPr>
        <w:spacing w:before="120" w:line="240" w:lineRule="atLeast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391213">
        <w:rPr>
          <w:rFonts w:ascii="Times New Roman" w:hAnsi="Times New Roman" w:cs="Times New Roman"/>
          <w:noProof/>
          <w:color w:val="auto"/>
          <w:sz w:val="26"/>
          <w:szCs w:val="26"/>
        </w:rPr>
        <w:t>9. Привлечение прямых иностранных инвестиций в международной практике и в России.</w:t>
      </w:r>
    </w:p>
    <w:p w:rsidR="00EF3A39" w:rsidRPr="00391213" w:rsidRDefault="00EF3A39" w:rsidP="00EF3A39">
      <w:pPr>
        <w:spacing w:before="120" w:line="240" w:lineRule="atLeast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391213">
        <w:rPr>
          <w:rFonts w:ascii="Times New Roman" w:hAnsi="Times New Roman" w:cs="Times New Roman"/>
          <w:noProof/>
          <w:color w:val="auto"/>
          <w:sz w:val="26"/>
          <w:szCs w:val="26"/>
        </w:rPr>
        <w:t>10. Особенности осуществления ВЭД в Южной Корее. (другие страны)</w:t>
      </w:r>
    </w:p>
    <w:p w:rsidR="00EF3A39" w:rsidRPr="00391213" w:rsidRDefault="00EF3A39" w:rsidP="00EF3A39">
      <w:pPr>
        <w:spacing w:before="120" w:line="240" w:lineRule="atLeast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391213">
        <w:rPr>
          <w:rFonts w:ascii="Times New Roman" w:hAnsi="Times New Roman" w:cs="Times New Roman"/>
          <w:noProof/>
          <w:color w:val="auto"/>
          <w:sz w:val="26"/>
          <w:szCs w:val="26"/>
        </w:rPr>
        <w:t>11. Организация работы внешнеторговой фирмы.</w:t>
      </w:r>
    </w:p>
    <w:p w:rsidR="00EF3A39" w:rsidRPr="00391213" w:rsidRDefault="00EF3A39" w:rsidP="00EF3A39">
      <w:pPr>
        <w:spacing w:before="120" w:line="240" w:lineRule="atLeast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391213">
        <w:rPr>
          <w:rFonts w:ascii="Times New Roman" w:hAnsi="Times New Roman" w:cs="Times New Roman"/>
          <w:noProof/>
          <w:color w:val="auto"/>
          <w:sz w:val="26"/>
          <w:szCs w:val="26"/>
        </w:rPr>
        <w:lastRenderedPageBreak/>
        <w:t>12. Посредничество во внешнеэкономической деятельности.</w:t>
      </w:r>
    </w:p>
    <w:p w:rsidR="00EF3A39" w:rsidRPr="00391213" w:rsidRDefault="00EF3A39" w:rsidP="00EF3A39">
      <w:pPr>
        <w:spacing w:before="120" w:line="240" w:lineRule="atLeast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391213">
        <w:rPr>
          <w:rFonts w:ascii="Times New Roman" w:hAnsi="Times New Roman" w:cs="Times New Roman"/>
          <w:noProof/>
          <w:color w:val="auto"/>
          <w:sz w:val="26"/>
          <w:szCs w:val="26"/>
        </w:rPr>
        <w:t>13. Технико-экономическое обоснование внешнеторговой сделки.</w:t>
      </w:r>
    </w:p>
    <w:p w:rsidR="00EF3A39" w:rsidRPr="00391213" w:rsidRDefault="00EF3A39" w:rsidP="00EF3A39">
      <w:pPr>
        <w:spacing w:before="120" w:line="240" w:lineRule="atLeast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391213">
        <w:rPr>
          <w:rFonts w:ascii="Times New Roman" w:hAnsi="Times New Roman" w:cs="Times New Roman"/>
          <w:noProof/>
          <w:color w:val="auto"/>
          <w:sz w:val="26"/>
          <w:szCs w:val="26"/>
        </w:rPr>
        <w:t>14. Международное разделение труда как основа развития мирового хозяйства и МЭО.</w:t>
      </w:r>
    </w:p>
    <w:p w:rsidR="00EF3A39" w:rsidRPr="00391213" w:rsidRDefault="00EF3A39" w:rsidP="00EF3A39">
      <w:pPr>
        <w:spacing w:before="120" w:line="240" w:lineRule="atLeast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391213">
        <w:rPr>
          <w:rFonts w:ascii="Times New Roman" w:hAnsi="Times New Roman" w:cs="Times New Roman"/>
          <w:noProof/>
          <w:color w:val="auto"/>
          <w:sz w:val="26"/>
          <w:szCs w:val="26"/>
        </w:rPr>
        <w:t>15. Всемирная торговая организация (ВТО) и её роль в регулировании торговли на современном этапе.</w:t>
      </w:r>
    </w:p>
    <w:p w:rsidR="00EF3A39" w:rsidRPr="00391213" w:rsidRDefault="00EF3A39" w:rsidP="00EF3A39">
      <w:pPr>
        <w:spacing w:before="120" w:line="240" w:lineRule="atLeast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391213">
        <w:rPr>
          <w:rFonts w:ascii="Times New Roman" w:hAnsi="Times New Roman" w:cs="Times New Roman"/>
          <w:noProof/>
          <w:color w:val="auto"/>
          <w:sz w:val="26"/>
          <w:szCs w:val="26"/>
        </w:rPr>
        <w:t>16. Внешний долг России.</w:t>
      </w:r>
    </w:p>
    <w:p w:rsidR="00EF3A39" w:rsidRPr="00391213" w:rsidRDefault="00EF3A39" w:rsidP="00EF3A39">
      <w:pPr>
        <w:spacing w:before="120" w:line="240" w:lineRule="atLeast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391213">
        <w:rPr>
          <w:rFonts w:ascii="Times New Roman" w:hAnsi="Times New Roman" w:cs="Times New Roman"/>
          <w:noProof/>
          <w:color w:val="auto"/>
          <w:sz w:val="26"/>
          <w:szCs w:val="26"/>
        </w:rPr>
        <w:t>17. Свободные экономические зоны.</w:t>
      </w:r>
    </w:p>
    <w:p w:rsidR="00EF3A39" w:rsidRPr="00391213" w:rsidRDefault="00EF3A39" w:rsidP="00EF3A39">
      <w:pPr>
        <w:spacing w:before="120" w:line="240" w:lineRule="atLeast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391213">
        <w:rPr>
          <w:rFonts w:ascii="Times New Roman" w:hAnsi="Times New Roman" w:cs="Times New Roman"/>
          <w:noProof/>
          <w:color w:val="auto"/>
          <w:sz w:val="26"/>
          <w:szCs w:val="26"/>
        </w:rPr>
        <w:t>18. ТНК в системе международных экономических отношений.</w:t>
      </w:r>
    </w:p>
    <w:p w:rsidR="00EF3A39" w:rsidRPr="00391213" w:rsidRDefault="00EF3A39" w:rsidP="00EF3A39">
      <w:pPr>
        <w:spacing w:before="120" w:line="240" w:lineRule="atLeast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391213">
        <w:rPr>
          <w:rFonts w:ascii="Times New Roman" w:hAnsi="Times New Roman" w:cs="Times New Roman"/>
          <w:noProof/>
          <w:color w:val="auto"/>
          <w:sz w:val="26"/>
          <w:szCs w:val="26"/>
        </w:rPr>
        <w:t>19. Становление и развитие мировой валютной системы.</w:t>
      </w:r>
    </w:p>
    <w:p w:rsidR="00EF3A39" w:rsidRPr="00391213" w:rsidRDefault="00EF3A39" w:rsidP="00EF3A39">
      <w:pPr>
        <w:spacing w:before="120" w:line="240" w:lineRule="atLeast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391213">
        <w:rPr>
          <w:rFonts w:ascii="Times New Roman" w:hAnsi="Times New Roman" w:cs="Times New Roman"/>
          <w:noProof/>
          <w:color w:val="auto"/>
          <w:sz w:val="26"/>
          <w:szCs w:val="26"/>
        </w:rPr>
        <w:t>20. Формы и уровни интеграционных процессов.</w:t>
      </w:r>
    </w:p>
    <w:p w:rsidR="00EF3A39" w:rsidRPr="00391213" w:rsidRDefault="00EF3A39" w:rsidP="00EF3A39">
      <w:pPr>
        <w:spacing w:before="120" w:line="240" w:lineRule="atLeast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391213">
        <w:rPr>
          <w:rFonts w:ascii="Times New Roman" w:hAnsi="Times New Roman" w:cs="Times New Roman"/>
          <w:noProof/>
          <w:color w:val="auto"/>
          <w:sz w:val="26"/>
          <w:szCs w:val="26"/>
        </w:rPr>
        <w:t>21. Роль иностранного капитала для российской экономики.</w:t>
      </w:r>
    </w:p>
    <w:p w:rsidR="00EF3A39" w:rsidRPr="00391213" w:rsidRDefault="00EF3A39" w:rsidP="00EF3A39">
      <w:pPr>
        <w:spacing w:before="120" w:line="240" w:lineRule="atLeast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391213">
        <w:rPr>
          <w:rFonts w:ascii="Times New Roman" w:hAnsi="Times New Roman" w:cs="Times New Roman"/>
          <w:noProof/>
          <w:color w:val="auto"/>
          <w:sz w:val="26"/>
          <w:szCs w:val="26"/>
        </w:rPr>
        <w:t>22. Роль и значение ГАТТ в международной торговле.</w:t>
      </w:r>
    </w:p>
    <w:p w:rsidR="00EF3A39" w:rsidRPr="00391213" w:rsidRDefault="00EF3A39" w:rsidP="00EF3A39">
      <w:pPr>
        <w:spacing w:before="120" w:line="240" w:lineRule="atLeast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391213">
        <w:rPr>
          <w:rFonts w:ascii="Times New Roman" w:hAnsi="Times New Roman" w:cs="Times New Roman"/>
          <w:noProof/>
          <w:color w:val="auto"/>
          <w:sz w:val="26"/>
          <w:szCs w:val="26"/>
        </w:rPr>
        <w:t>23. Трудовая миграция в современном мире.</w:t>
      </w:r>
    </w:p>
    <w:p w:rsidR="00EF3A39" w:rsidRPr="00391213" w:rsidRDefault="00EF3A39" w:rsidP="00EF3A39">
      <w:pPr>
        <w:spacing w:before="120" w:line="240" w:lineRule="atLeast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391213">
        <w:rPr>
          <w:rFonts w:ascii="Times New Roman" w:hAnsi="Times New Roman" w:cs="Times New Roman"/>
          <w:noProof/>
          <w:color w:val="auto"/>
          <w:sz w:val="26"/>
          <w:szCs w:val="26"/>
        </w:rPr>
        <w:t>24. Развитие международного туризма.</w:t>
      </w:r>
    </w:p>
    <w:p w:rsidR="00EF3A39" w:rsidRPr="00391213" w:rsidRDefault="00EF3A39" w:rsidP="00EF3A39">
      <w:pPr>
        <w:spacing w:before="120" w:line="240" w:lineRule="atLeast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391213">
        <w:rPr>
          <w:rFonts w:ascii="Times New Roman" w:hAnsi="Times New Roman" w:cs="Times New Roman"/>
          <w:noProof/>
          <w:color w:val="auto"/>
          <w:sz w:val="26"/>
          <w:szCs w:val="26"/>
        </w:rPr>
        <w:t>25. Иностранный капитал в Российской экономике.</w:t>
      </w:r>
    </w:p>
    <w:p w:rsidR="00EF3A39" w:rsidRPr="00391213" w:rsidRDefault="00EF3A39" w:rsidP="00EF3A39">
      <w:pPr>
        <w:spacing w:before="120" w:line="240" w:lineRule="atLeast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391213">
        <w:rPr>
          <w:rFonts w:ascii="Times New Roman" w:hAnsi="Times New Roman" w:cs="Times New Roman"/>
          <w:noProof/>
          <w:color w:val="auto"/>
          <w:sz w:val="26"/>
          <w:szCs w:val="26"/>
        </w:rPr>
        <w:t>26. Внешняя задолженность и пути её решения.</w:t>
      </w:r>
    </w:p>
    <w:p w:rsidR="00EF3A39" w:rsidRPr="00391213" w:rsidRDefault="00EF3A39" w:rsidP="00EF3A39">
      <w:pPr>
        <w:spacing w:before="120" w:line="240" w:lineRule="atLeast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391213">
        <w:rPr>
          <w:rFonts w:ascii="Times New Roman" w:hAnsi="Times New Roman" w:cs="Times New Roman"/>
          <w:noProof/>
          <w:color w:val="auto"/>
          <w:sz w:val="26"/>
          <w:szCs w:val="26"/>
        </w:rPr>
        <w:t>27. Мировые рынки рабочей силы.</w:t>
      </w:r>
    </w:p>
    <w:p w:rsidR="00EF3A39" w:rsidRPr="00391213" w:rsidRDefault="00EF3A39" w:rsidP="00EF3A39">
      <w:pPr>
        <w:spacing w:before="120" w:line="240" w:lineRule="atLeast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391213">
        <w:rPr>
          <w:rFonts w:ascii="Times New Roman" w:hAnsi="Times New Roman" w:cs="Times New Roman"/>
          <w:noProof/>
          <w:color w:val="auto"/>
          <w:sz w:val="26"/>
          <w:szCs w:val="26"/>
        </w:rPr>
        <w:t>28. Бреттон-Вудская валютная система.</w:t>
      </w:r>
    </w:p>
    <w:p w:rsidR="00EF3A39" w:rsidRPr="00391213" w:rsidRDefault="00EF3A39" w:rsidP="00EF3A39">
      <w:pPr>
        <w:spacing w:before="120" w:line="240" w:lineRule="atLeast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391213">
        <w:rPr>
          <w:rFonts w:ascii="Times New Roman" w:hAnsi="Times New Roman" w:cs="Times New Roman"/>
          <w:noProof/>
          <w:color w:val="auto"/>
          <w:sz w:val="26"/>
          <w:szCs w:val="26"/>
        </w:rPr>
        <w:t>29. МВФ в современном мировом хозяйстве.</w:t>
      </w:r>
    </w:p>
    <w:p w:rsidR="00EF3A39" w:rsidRPr="00391213" w:rsidRDefault="00EF3A39" w:rsidP="00EF3A39">
      <w:pPr>
        <w:spacing w:before="120" w:line="240" w:lineRule="atLeast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391213">
        <w:rPr>
          <w:rFonts w:ascii="Times New Roman" w:hAnsi="Times New Roman" w:cs="Times New Roman"/>
          <w:noProof/>
          <w:color w:val="auto"/>
          <w:sz w:val="26"/>
          <w:szCs w:val="26"/>
        </w:rPr>
        <w:t>30. Интеграционные процессы в Северной Америке (НАФТА).</w:t>
      </w:r>
    </w:p>
    <w:p w:rsidR="00EF3A39" w:rsidRPr="00391213" w:rsidRDefault="00EF3A39" w:rsidP="00EF3A39">
      <w:pPr>
        <w:spacing w:before="120" w:line="240" w:lineRule="atLeast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391213">
        <w:rPr>
          <w:rFonts w:ascii="Times New Roman" w:hAnsi="Times New Roman" w:cs="Times New Roman"/>
          <w:noProof/>
          <w:color w:val="auto"/>
          <w:sz w:val="26"/>
          <w:szCs w:val="26"/>
        </w:rPr>
        <w:t>31. Интеграционные процессы в Европе (ЕС, ЕАСТ, ЕЭП).</w:t>
      </w:r>
    </w:p>
    <w:p w:rsidR="00EF3A39" w:rsidRPr="00391213" w:rsidRDefault="00EF3A39" w:rsidP="00EF3A39">
      <w:pPr>
        <w:spacing w:before="120" w:line="240" w:lineRule="atLeast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391213">
        <w:rPr>
          <w:rFonts w:ascii="Times New Roman" w:hAnsi="Times New Roman" w:cs="Times New Roman"/>
          <w:noProof/>
          <w:color w:val="auto"/>
          <w:sz w:val="26"/>
          <w:szCs w:val="26"/>
        </w:rPr>
        <w:t>32. Ассоциация Азиатско-Тихоокеанского экономического сотрудничества (АТЭС).</w:t>
      </w:r>
    </w:p>
    <w:p w:rsidR="00EF3A39" w:rsidRPr="00391213" w:rsidRDefault="00EF3A39" w:rsidP="00EF3A39">
      <w:pPr>
        <w:spacing w:before="120" w:line="240" w:lineRule="atLeast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391213">
        <w:rPr>
          <w:rFonts w:ascii="Times New Roman" w:hAnsi="Times New Roman" w:cs="Times New Roman"/>
          <w:noProof/>
          <w:color w:val="auto"/>
          <w:sz w:val="26"/>
          <w:szCs w:val="26"/>
        </w:rPr>
        <w:t>33. Особенности российской модели рыночной экономики.</w:t>
      </w:r>
    </w:p>
    <w:p w:rsidR="00EF3A39" w:rsidRPr="00391213" w:rsidRDefault="00EF3A39" w:rsidP="00EF3A39">
      <w:pPr>
        <w:spacing w:before="120" w:line="240" w:lineRule="atLeast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391213">
        <w:rPr>
          <w:rFonts w:ascii="Times New Roman" w:hAnsi="Times New Roman" w:cs="Times New Roman"/>
          <w:noProof/>
          <w:color w:val="auto"/>
          <w:sz w:val="26"/>
          <w:szCs w:val="26"/>
        </w:rPr>
        <w:t>34. Возрастание роли прямых иностранных инвестиций в международном движении капитала.</w:t>
      </w:r>
    </w:p>
    <w:p w:rsidR="00EF3A39" w:rsidRPr="00391213" w:rsidRDefault="00EF3A39" w:rsidP="00EF3A39">
      <w:pPr>
        <w:spacing w:before="120" w:line="240" w:lineRule="atLeast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391213">
        <w:rPr>
          <w:rFonts w:ascii="Times New Roman" w:hAnsi="Times New Roman" w:cs="Times New Roman"/>
          <w:noProof/>
          <w:color w:val="auto"/>
          <w:sz w:val="26"/>
          <w:szCs w:val="26"/>
        </w:rPr>
        <w:t>35. США – ведущая страна в системе мирового хозяйства.</w:t>
      </w:r>
    </w:p>
    <w:p w:rsidR="00EF3A39" w:rsidRPr="00391213" w:rsidRDefault="00EF3A39" w:rsidP="00EF3A39">
      <w:pPr>
        <w:spacing w:before="120" w:line="240" w:lineRule="atLeast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391213">
        <w:rPr>
          <w:rFonts w:ascii="Times New Roman" w:hAnsi="Times New Roman" w:cs="Times New Roman"/>
          <w:noProof/>
          <w:color w:val="auto"/>
          <w:sz w:val="26"/>
          <w:szCs w:val="26"/>
        </w:rPr>
        <w:t>36. Возрастание роли КНР в системе мирового хозяйства.</w:t>
      </w:r>
    </w:p>
    <w:p w:rsidR="00EF3A39" w:rsidRPr="00391213" w:rsidRDefault="00EF3A39" w:rsidP="00EF3A39">
      <w:pPr>
        <w:spacing w:before="120" w:line="240" w:lineRule="atLeast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391213">
        <w:rPr>
          <w:rFonts w:ascii="Times New Roman" w:hAnsi="Times New Roman" w:cs="Times New Roman"/>
          <w:noProof/>
          <w:color w:val="auto"/>
          <w:sz w:val="26"/>
          <w:szCs w:val="26"/>
        </w:rPr>
        <w:t>37. Страны ОПЕК.</w:t>
      </w:r>
    </w:p>
    <w:p w:rsidR="00EF3A39" w:rsidRPr="00391213" w:rsidRDefault="00EF3A39" w:rsidP="00EF3A39">
      <w:pPr>
        <w:spacing w:before="120" w:line="240" w:lineRule="atLeast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391213">
        <w:rPr>
          <w:rFonts w:ascii="Times New Roman" w:hAnsi="Times New Roman" w:cs="Times New Roman"/>
          <w:noProof/>
          <w:color w:val="auto"/>
          <w:sz w:val="26"/>
          <w:szCs w:val="26"/>
        </w:rPr>
        <w:t>38. Выбор иностранного партнера во внешнеэкономической деятельности предприятия.</w:t>
      </w:r>
    </w:p>
    <w:p w:rsidR="00EF3A39" w:rsidRPr="00391213" w:rsidRDefault="00EF3A39" w:rsidP="00EF3A39">
      <w:pPr>
        <w:spacing w:before="120" w:line="240" w:lineRule="atLeast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391213">
        <w:rPr>
          <w:rFonts w:ascii="Times New Roman" w:hAnsi="Times New Roman" w:cs="Times New Roman"/>
          <w:noProof/>
          <w:color w:val="auto"/>
          <w:sz w:val="26"/>
          <w:szCs w:val="26"/>
        </w:rPr>
        <w:t>39. Оценка эффективности внешнеэкономической деятельности предприятия</w:t>
      </w:r>
    </w:p>
    <w:p w:rsidR="00EF3A39" w:rsidRPr="00391213" w:rsidRDefault="00EF3A39" w:rsidP="00EF3A39">
      <w:pPr>
        <w:spacing w:before="120" w:line="240" w:lineRule="atLeast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391213">
        <w:rPr>
          <w:rFonts w:ascii="Times New Roman" w:hAnsi="Times New Roman" w:cs="Times New Roman"/>
          <w:noProof/>
          <w:color w:val="auto"/>
          <w:sz w:val="26"/>
          <w:szCs w:val="26"/>
        </w:rPr>
        <w:t>40. Особенности договорных отношений.</w:t>
      </w:r>
    </w:p>
    <w:p w:rsidR="00EF3A39" w:rsidRPr="00391213" w:rsidRDefault="00EF3A39" w:rsidP="00EF3A39">
      <w:pPr>
        <w:spacing w:before="120" w:line="240" w:lineRule="atLeast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391213">
        <w:rPr>
          <w:rFonts w:ascii="Times New Roman" w:hAnsi="Times New Roman" w:cs="Times New Roman"/>
          <w:noProof/>
          <w:color w:val="auto"/>
          <w:sz w:val="26"/>
          <w:szCs w:val="26"/>
        </w:rPr>
        <w:t>41. Инкотермс. Сфера действия, особенности и сравнительная характеристика базисных условий поставки.</w:t>
      </w:r>
    </w:p>
    <w:p w:rsidR="00EF3A39" w:rsidRPr="00391213" w:rsidRDefault="00EF3A39" w:rsidP="00EF3A39">
      <w:pPr>
        <w:spacing w:before="120" w:line="240" w:lineRule="atLeast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391213">
        <w:rPr>
          <w:rFonts w:ascii="Times New Roman" w:hAnsi="Times New Roman" w:cs="Times New Roman"/>
          <w:noProof/>
          <w:color w:val="auto"/>
          <w:sz w:val="26"/>
          <w:szCs w:val="26"/>
        </w:rPr>
        <w:lastRenderedPageBreak/>
        <w:t>42. Экономическая безопасность России в сфере ВЭД.</w:t>
      </w:r>
    </w:p>
    <w:p w:rsidR="00EF3A39" w:rsidRPr="00391213" w:rsidRDefault="00EF3A39" w:rsidP="00EF3A39">
      <w:pPr>
        <w:spacing w:before="120" w:line="240" w:lineRule="atLeast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391213">
        <w:rPr>
          <w:rFonts w:ascii="Times New Roman" w:hAnsi="Times New Roman" w:cs="Times New Roman"/>
          <w:noProof/>
          <w:color w:val="auto"/>
          <w:sz w:val="26"/>
          <w:szCs w:val="26"/>
        </w:rPr>
        <w:t>43. Оценка финансовой устойчивости иностранного партнера.</w:t>
      </w:r>
    </w:p>
    <w:p w:rsidR="00EF3A39" w:rsidRPr="00391213" w:rsidRDefault="00EF3A39" w:rsidP="00EF3A39">
      <w:pPr>
        <w:spacing w:before="120" w:line="240" w:lineRule="atLeast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391213">
        <w:rPr>
          <w:rFonts w:ascii="Times New Roman" w:hAnsi="Times New Roman" w:cs="Times New Roman"/>
          <w:noProof/>
          <w:color w:val="auto"/>
          <w:sz w:val="26"/>
          <w:szCs w:val="26"/>
        </w:rPr>
        <w:t>44. Таможенно-тарифное и нетарифное регулирование ВЭД.</w:t>
      </w:r>
    </w:p>
    <w:p w:rsidR="00EF3A39" w:rsidRDefault="00EF3A39" w:rsidP="00EF3A39">
      <w:pPr>
        <w:pStyle w:val="a7"/>
        <w:spacing w:line="286" w:lineRule="auto"/>
        <w:ind w:firstLine="0"/>
      </w:pPr>
    </w:p>
    <w:p w:rsidR="00EF3A39" w:rsidRDefault="00EF3A39">
      <w:pPr>
        <w:rPr>
          <w:rFonts w:ascii="Times New Roman" w:hAnsi="Times New Roman" w:cs="Times New Roman"/>
          <w:color w:val="auto"/>
        </w:rPr>
      </w:pPr>
    </w:p>
    <w:sectPr w:rsidR="00EF3A39" w:rsidSect="005B4BE6">
      <w:headerReference w:type="default" r:id="rId7"/>
      <w:footerReference w:type="default" r:id="rId8"/>
      <w:type w:val="continuous"/>
      <w:pgSz w:w="11900" w:h="16840"/>
      <w:pgMar w:top="990" w:right="811" w:bottom="1355" w:left="1654" w:header="56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522" w:rsidRDefault="00ED7522">
      <w:r>
        <w:separator/>
      </w:r>
    </w:p>
  </w:endnote>
  <w:endnote w:type="continuationSeparator" w:id="0">
    <w:p w:rsidR="00ED7522" w:rsidRDefault="00ED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268" w:rsidRDefault="004772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522" w:rsidRDefault="00ED7522"/>
  </w:footnote>
  <w:footnote w:type="continuationSeparator" w:id="0">
    <w:p w:rsidR="00ED7522" w:rsidRDefault="00ED75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268" w:rsidRDefault="004772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50A7F"/>
    <w:multiLevelType w:val="multilevel"/>
    <w:tmpl w:val="FD262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7A61EB2"/>
    <w:multiLevelType w:val="hybridMultilevel"/>
    <w:tmpl w:val="12A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141B6"/>
    <w:multiLevelType w:val="hybridMultilevel"/>
    <w:tmpl w:val="C4CC5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DA"/>
    <w:rsid w:val="000210FD"/>
    <w:rsid w:val="00032329"/>
    <w:rsid w:val="00046A16"/>
    <w:rsid w:val="00052462"/>
    <w:rsid w:val="00083FF9"/>
    <w:rsid w:val="00096339"/>
    <w:rsid w:val="000C7C44"/>
    <w:rsid w:val="000F7E6A"/>
    <w:rsid w:val="00113EDA"/>
    <w:rsid w:val="00191291"/>
    <w:rsid w:val="001A2E8A"/>
    <w:rsid w:val="001B09C0"/>
    <w:rsid w:val="001B6A22"/>
    <w:rsid w:val="001D6499"/>
    <w:rsid w:val="00216948"/>
    <w:rsid w:val="002659C0"/>
    <w:rsid w:val="00266BAF"/>
    <w:rsid w:val="0027667B"/>
    <w:rsid w:val="002779E1"/>
    <w:rsid w:val="002A4FB0"/>
    <w:rsid w:val="002D3986"/>
    <w:rsid w:val="002E1250"/>
    <w:rsid w:val="002E6680"/>
    <w:rsid w:val="00322610"/>
    <w:rsid w:val="00323E10"/>
    <w:rsid w:val="00327060"/>
    <w:rsid w:val="00330EF1"/>
    <w:rsid w:val="00344978"/>
    <w:rsid w:val="00375612"/>
    <w:rsid w:val="003772E7"/>
    <w:rsid w:val="00391213"/>
    <w:rsid w:val="003B3FD9"/>
    <w:rsid w:val="003D1E68"/>
    <w:rsid w:val="003D36DC"/>
    <w:rsid w:val="003D6869"/>
    <w:rsid w:val="003E5644"/>
    <w:rsid w:val="003F3A26"/>
    <w:rsid w:val="003F5E34"/>
    <w:rsid w:val="00401B32"/>
    <w:rsid w:val="00405C6A"/>
    <w:rsid w:val="00406041"/>
    <w:rsid w:val="00406357"/>
    <w:rsid w:val="0041366A"/>
    <w:rsid w:val="004352BB"/>
    <w:rsid w:val="0045318A"/>
    <w:rsid w:val="004559EB"/>
    <w:rsid w:val="00462F2D"/>
    <w:rsid w:val="00464740"/>
    <w:rsid w:val="00477268"/>
    <w:rsid w:val="004826C1"/>
    <w:rsid w:val="004B5A44"/>
    <w:rsid w:val="004D676D"/>
    <w:rsid w:val="004F1A97"/>
    <w:rsid w:val="004F656C"/>
    <w:rsid w:val="005044FB"/>
    <w:rsid w:val="00547DE1"/>
    <w:rsid w:val="00564875"/>
    <w:rsid w:val="0057512E"/>
    <w:rsid w:val="00595EC0"/>
    <w:rsid w:val="005A3E91"/>
    <w:rsid w:val="005B4BE6"/>
    <w:rsid w:val="005E15DD"/>
    <w:rsid w:val="005F0CBF"/>
    <w:rsid w:val="006421C5"/>
    <w:rsid w:val="00646A2B"/>
    <w:rsid w:val="006512B5"/>
    <w:rsid w:val="00656F71"/>
    <w:rsid w:val="00660EF8"/>
    <w:rsid w:val="00665CED"/>
    <w:rsid w:val="006A0038"/>
    <w:rsid w:val="006A2DD7"/>
    <w:rsid w:val="006C21C5"/>
    <w:rsid w:val="006C4B9F"/>
    <w:rsid w:val="006D11C9"/>
    <w:rsid w:val="006D1DB8"/>
    <w:rsid w:val="006E3F30"/>
    <w:rsid w:val="006E61D2"/>
    <w:rsid w:val="00730C20"/>
    <w:rsid w:val="00780636"/>
    <w:rsid w:val="00780D00"/>
    <w:rsid w:val="00790191"/>
    <w:rsid w:val="007E2201"/>
    <w:rsid w:val="00802300"/>
    <w:rsid w:val="00845513"/>
    <w:rsid w:val="00855E32"/>
    <w:rsid w:val="00856DFD"/>
    <w:rsid w:val="00861AE3"/>
    <w:rsid w:val="0086414E"/>
    <w:rsid w:val="008709BC"/>
    <w:rsid w:val="00871805"/>
    <w:rsid w:val="00884A26"/>
    <w:rsid w:val="008943E2"/>
    <w:rsid w:val="00897E01"/>
    <w:rsid w:val="008A3492"/>
    <w:rsid w:val="008C7C58"/>
    <w:rsid w:val="008D1E7C"/>
    <w:rsid w:val="008D5EDC"/>
    <w:rsid w:val="008F4FC2"/>
    <w:rsid w:val="009018B3"/>
    <w:rsid w:val="009378EE"/>
    <w:rsid w:val="00940B84"/>
    <w:rsid w:val="00946920"/>
    <w:rsid w:val="00952CA0"/>
    <w:rsid w:val="00961657"/>
    <w:rsid w:val="00974B1B"/>
    <w:rsid w:val="009809FB"/>
    <w:rsid w:val="009A04CB"/>
    <w:rsid w:val="009D25E9"/>
    <w:rsid w:val="009D51D7"/>
    <w:rsid w:val="009F4D3E"/>
    <w:rsid w:val="00A5062A"/>
    <w:rsid w:val="00A53C8B"/>
    <w:rsid w:val="00A5454E"/>
    <w:rsid w:val="00A83D2C"/>
    <w:rsid w:val="00AB451F"/>
    <w:rsid w:val="00AC6272"/>
    <w:rsid w:val="00AD6179"/>
    <w:rsid w:val="00B50B6E"/>
    <w:rsid w:val="00B61505"/>
    <w:rsid w:val="00B62279"/>
    <w:rsid w:val="00B722C0"/>
    <w:rsid w:val="00BC4853"/>
    <w:rsid w:val="00BC7F5C"/>
    <w:rsid w:val="00BD2979"/>
    <w:rsid w:val="00BD6565"/>
    <w:rsid w:val="00BE1815"/>
    <w:rsid w:val="00C42A85"/>
    <w:rsid w:val="00C538E2"/>
    <w:rsid w:val="00C81F02"/>
    <w:rsid w:val="00C84328"/>
    <w:rsid w:val="00CA477A"/>
    <w:rsid w:val="00CC2D07"/>
    <w:rsid w:val="00CC3AE8"/>
    <w:rsid w:val="00D17683"/>
    <w:rsid w:val="00D30334"/>
    <w:rsid w:val="00D33783"/>
    <w:rsid w:val="00D414DE"/>
    <w:rsid w:val="00D47457"/>
    <w:rsid w:val="00D579DB"/>
    <w:rsid w:val="00D62402"/>
    <w:rsid w:val="00D934A9"/>
    <w:rsid w:val="00DA60BA"/>
    <w:rsid w:val="00DC105C"/>
    <w:rsid w:val="00E25F6E"/>
    <w:rsid w:val="00E352E3"/>
    <w:rsid w:val="00E55DC7"/>
    <w:rsid w:val="00E67696"/>
    <w:rsid w:val="00E716FC"/>
    <w:rsid w:val="00E74DDF"/>
    <w:rsid w:val="00E8194A"/>
    <w:rsid w:val="00EB76FA"/>
    <w:rsid w:val="00EC2CC8"/>
    <w:rsid w:val="00ED03B6"/>
    <w:rsid w:val="00ED7522"/>
    <w:rsid w:val="00EF3A39"/>
    <w:rsid w:val="00F115A7"/>
    <w:rsid w:val="00F9319F"/>
    <w:rsid w:val="00FA43B9"/>
    <w:rsid w:val="00FB3731"/>
    <w:rsid w:val="00FB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48A307-DA6F-4BB4-97DB-2935DEBE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93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31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4">
    <w:name w:val="Заголовок №2"/>
    <w:basedOn w:val="a"/>
    <w:link w:val="23"/>
    <w:pPr>
      <w:spacing w:after="360" w:line="295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spacing w:line="293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ind w:firstLine="3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Колонтитул"/>
    <w:basedOn w:val="a"/>
    <w:link w:val="a8"/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46A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6A2B"/>
    <w:rPr>
      <w:color w:val="000000"/>
    </w:rPr>
  </w:style>
  <w:style w:type="paragraph" w:styleId="ac">
    <w:name w:val="footer"/>
    <w:basedOn w:val="a"/>
    <w:link w:val="ad"/>
    <w:uiPriority w:val="99"/>
    <w:unhideWhenUsed/>
    <w:rsid w:val="00646A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6A2B"/>
    <w:rPr>
      <w:color w:val="000000"/>
    </w:rPr>
  </w:style>
  <w:style w:type="paragraph" w:styleId="ae">
    <w:name w:val="List Paragraph"/>
    <w:basedOn w:val="a"/>
    <w:qFormat/>
    <w:rsid w:val="006E61D2"/>
    <w:pPr>
      <w:ind w:left="720"/>
      <w:contextualSpacing/>
    </w:pPr>
  </w:style>
  <w:style w:type="table" w:styleId="af">
    <w:name w:val="Table Grid"/>
    <w:basedOn w:val="a1"/>
    <w:uiPriority w:val="39"/>
    <w:rsid w:val="0065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75612"/>
    <w:rPr>
      <w:color w:val="0563C1" w:themeColor="hyperlink"/>
      <w:u w:val="single"/>
    </w:rPr>
  </w:style>
  <w:style w:type="paragraph" w:customStyle="1" w:styleId="Default">
    <w:name w:val="Default"/>
    <w:rsid w:val="006C4B9F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table" w:styleId="12">
    <w:name w:val="Plain Table 1"/>
    <w:basedOn w:val="a1"/>
    <w:uiPriority w:val="41"/>
    <w:rsid w:val="003D36D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1">
    <w:name w:val="Grid Table Light"/>
    <w:basedOn w:val="a1"/>
    <w:uiPriority w:val="40"/>
    <w:rsid w:val="003D36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Кокрев Игорь Анатольевич</dc:creator>
  <cp:lastModifiedBy>Кокрев Игорь Анатольевич</cp:lastModifiedBy>
  <cp:revision>2</cp:revision>
  <dcterms:created xsi:type="dcterms:W3CDTF">2024-02-26T07:30:00Z</dcterms:created>
  <dcterms:modified xsi:type="dcterms:W3CDTF">2024-02-26T07:30:00Z</dcterms:modified>
</cp:coreProperties>
</file>