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Вопросы к экзамену</w:t>
      </w:r>
      <w:r w:rsidR="004904AE">
        <w:rPr>
          <w:rFonts w:ascii="Times New Roman" w:hAnsi="Times New Roman" w:cs="Times New Roman"/>
          <w:sz w:val="24"/>
          <w:szCs w:val="24"/>
        </w:rPr>
        <w:t xml:space="preserve"> дисциплина </w:t>
      </w:r>
      <w:bookmarkStart w:id="0" w:name="_GoBack"/>
      <w:bookmarkEnd w:id="0"/>
      <w:r w:rsidR="004904AE">
        <w:rPr>
          <w:rFonts w:ascii="Times New Roman" w:hAnsi="Times New Roman" w:cs="Times New Roman"/>
          <w:sz w:val="24"/>
          <w:szCs w:val="24"/>
        </w:rPr>
        <w:t>«</w:t>
      </w:r>
      <w:r w:rsidR="004904AE" w:rsidRPr="00AB6C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Автоматизация теплоэнергетических установок</w:t>
      </w:r>
      <w:r w:rsidR="004904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1. Автоматические измерения и контроль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2. АСР экономичности парового котла. Структурная схема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3. Частотные характеристики объекта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4. АСР нагрузки парового котла. Структурная схема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5. Элементарные звенья, их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6. Автоматическая сигнализация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7. Критерий устойчивости Гурвица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8. Временные характеристики ТОУ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9. Автоматическое управление подогревателями сетевой воды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10.Последовательное соединение звеньев,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11.Общие принципы разработки функциональных схем автоматизации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12.Автоматическое регулирование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13.Критерий устойчивости Михайлова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14.Автоматизация систем подпитки тепловых сетей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15.Параллельное соединение звеньев,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16.Структурные схемы АСУ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17.Частотные характеристики объекта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18.Автоматическое управление питательно-деаэраторной установки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19.Состав аппаратуры АСУ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20.Цель и порядок выполнения проектных работ по АСР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21.Автоматическая защита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22.Автоматическое управление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23.Критерий устойчивости Найквиста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24.Передаточная функции звена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25.Коэффициент усиления (передачи) ТОУ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26.Постоянная времени объекта управления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27.Что означает термин перерегулирования?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 xml:space="preserve">28.Что такое время </w:t>
      </w:r>
      <w:proofErr w:type="spellStart"/>
      <w:r w:rsidRPr="00AB6C03">
        <w:rPr>
          <w:rFonts w:ascii="Times New Roman" w:hAnsi="Times New Roman" w:cs="Times New Roman"/>
          <w:sz w:val="24"/>
          <w:szCs w:val="24"/>
        </w:rPr>
        <w:t>изодрома</w:t>
      </w:r>
      <w:proofErr w:type="spellEnd"/>
      <w:r w:rsidRPr="00AB6C03">
        <w:rPr>
          <w:rFonts w:ascii="Times New Roman" w:hAnsi="Times New Roman" w:cs="Times New Roman"/>
          <w:sz w:val="24"/>
          <w:szCs w:val="24"/>
        </w:rPr>
        <w:t>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29.Какой прибор является датчиком в АСР разрежения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30.Какой прибор является датчиком в АСР нагрузки парового котла?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31.Какой прибор является датчиком в АСР нагрузки водогрейных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lastRenderedPageBreak/>
        <w:t>32.Передаточная функция идеального дифференцирующего звена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33.Что является регулирующим органом в АСР разрежения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34.Что является регулирующим органом в АСР соотношения "топливо-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воздух"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35.Динамическая характеристика ТОУ это?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36.Динамические параметры ТОУ: время разгона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37.Динамические параметры ТОУ: постоянная времени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38.Передаточная функции звена это?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39.Изображение по Лапласу единичного сигнала y(t)=1(t)?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40.Передаточная функция разомкнутой АСР звена?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41.Какие параметры автоматически регулируются в ДЕАЭРАТОРЕ?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42.Статическая характеристика ТОУ это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43.. Какие параметры автоматически регулируются в РОУ?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44.Какова задача регулятора давления пара в паровых колах?</w:t>
      </w:r>
    </w:p>
    <w:p w:rsidR="00650B4A" w:rsidRDefault="00650B4A"/>
    <w:sectPr w:rsidR="0065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06"/>
    <w:rsid w:val="002A2504"/>
    <w:rsid w:val="00457806"/>
    <w:rsid w:val="004904AE"/>
    <w:rsid w:val="006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71C8-AD6F-4598-9F5D-6938EBA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2023-12-07T08:17:00Z</dcterms:created>
  <dcterms:modified xsi:type="dcterms:W3CDTF">2023-12-07T08:20:00Z</dcterms:modified>
</cp:coreProperties>
</file>