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firstLine="709"/>
        <w:jc w:val="center"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  <w:t xml:space="preserve">О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ценочные материалы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,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применяемые при проведении 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промежуточной аттестации по дисциплине (модулю) </w:t>
      </w:r>
      <w:r>
        <w:rPr>
          <w:rFonts w:ascii="Times New Roman" w:hAnsi="Times New Roman"/>
          <w:b/>
          <w:sz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contextualSpacing/>
        <w:ind w:left="0" w:firstLine="709"/>
        <w:jc w:val="center"/>
        <w:spacing w:after="0" w:line="276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  <w:t xml:space="preserve">«</w:t>
      </w:r>
      <w:r>
        <w:rPr>
          <w:rFonts w:ascii="Times New Roman" w:hAnsi="Times New Roman"/>
          <w:b/>
          <w:i/>
          <w:sz w:val="28"/>
          <w:highlight w:val="none"/>
          <w:lang w:val="ru-RU"/>
        </w:rPr>
        <w:t xml:space="preserve">БИЗНЕС АНАЛИЗ</w:t>
      </w:r>
      <w:r>
        <w:rPr>
          <w:rFonts w:ascii="Times New Roman" w:hAnsi="Times New Roman"/>
          <w:b/>
          <w:sz w:val="28"/>
          <w:highlight w:val="none"/>
          <w:lang w:val="ru-RU"/>
        </w:rPr>
        <w:t xml:space="preserve">»</w:t>
      </w:r>
      <w:r>
        <w:rPr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  <w:t xml:space="preserve">Инструкция для выполнения заданий закрытого типа: </w:t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на выполнение теста обучающемуся дается 20 минут;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каждый обучающийся решает 10 тестовых заданий, выбранных из базы тестовых заданий;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тестирование проводится с использованием тестов на бумажном носителе;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  <w:t xml:space="preserve">Инструкция для выполнения заданий открытого типа: </w:t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каждому обучающемуся выдается два задания открытого типа на бумажном носителе;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время на подготовку развернутого ответа на полученные задания – 15-20 минут;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развернутый ответ по каждому заданию обучающийся озвучивает преподавателю в процессе своего ответа;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- критерии оценивания: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«</w:t>
      </w:r>
      <w:r>
        <w:rPr>
          <w:rFonts w:ascii="Times New Roman" w:hAnsi="Times New Roman"/>
          <w:sz w:val="28"/>
          <w:highlight w:val="none"/>
          <w:lang w:val="ru-RU"/>
        </w:rPr>
        <w:t xml:space="preserve">отлично</w:t>
      </w:r>
      <w:r>
        <w:rPr>
          <w:rFonts w:ascii="Times New Roman" w:hAnsi="Times New Roman"/>
          <w:sz w:val="28"/>
          <w:highlight w:val="none"/>
          <w:lang w:val="ru-RU"/>
        </w:rPr>
        <w:t xml:space="preserve">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«</w:t>
      </w:r>
      <w:r>
        <w:rPr>
          <w:rFonts w:ascii="Times New Roman" w:hAnsi="Times New Roman"/>
          <w:sz w:val="28"/>
          <w:highlight w:val="none"/>
          <w:lang w:val="ru-RU"/>
        </w:rPr>
        <w:t xml:space="preserve">хорошо</w:t>
      </w:r>
      <w:r>
        <w:rPr>
          <w:rFonts w:ascii="Times New Roman" w:hAnsi="Times New Roman"/>
          <w:sz w:val="28"/>
          <w:highlight w:val="none"/>
          <w:lang w:val="ru-RU"/>
        </w:rPr>
        <w:t xml:space="preserve">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«</w:t>
      </w:r>
      <w:r>
        <w:rPr>
          <w:rFonts w:ascii="Times New Roman" w:hAnsi="Times New Roman"/>
          <w:sz w:val="28"/>
          <w:highlight w:val="none"/>
          <w:lang w:val="ru-RU"/>
        </w:rPr>
        <w:t xml:space="preserve">удовлетворительно</w:t>
      </w:r>
      <w:r>
        <w:rPr>
          <w:rFonts w:ascii="Times New Roman" w:hAnsi="Times New Roman"/>
          <w:sz w:val="28"/>
          <w:highlight w:val="none"/>
          <w:lang w:val="ru-RU"/>
        </w:rPr>
        <w:t xml:space="preserve">» - обучающийся усвоил основной материал, но допускает неточности и испытывает затруднения в выполнении заданий;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«</w:t>
      </w:r>
      <w:r>
        <w:rPr>
          <w:rFonts w:ascii="Times New Roman" w:hAnsi="Times New Roman"/>
          <w:sz w:val="28"/>
          <w:highlight w:val="none"/>
          <w:lang w:val="ru-RU"/>
        </w:rPr>
        <w:t xml:space="preserve">не</w:t>
      </w:r>
      <w:r>
        <w:rPr>
          <w:rFonts w:ascii="Times New Roman" w:hAnsi="Times New Roman"/>
          <w:sz w:val="28"/>
          <w:highlight w:val="none"/>
          <w:lang w:val="ru-RU"/>
        </w:rPr>
        <w:t xml:space="preserve"> удовлетворительно» - обучающийся</w:t>
      </w:r>
      <w:r>
        <w:rPr>
          <w:rFonts w:ascii="Times New Roman" w:hAnsi="Times New Roman"/>
          <w:sz w:val="28"/>
          <w:highlight w:val="none"/>
          <w:lang w:val="ru-RU"/>
        </w:rPr>
        <w:t xml:space="preserve"> не показал знания по изучаемому материалу.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  <w:lang w:val="ru-RU"/>
        </w:rPr>
        <w:t xml:space="preserve">Семестр изучения: </w:t>
      </w:r>
      <w:r>
        <w:rPr>
          <w:rFonts w:ascii="Times New Roman" w:hAnsi="Times New Roman"/>
          <w:b/>
          <w:i/>
          <w:sz w:val="28"/>
          <w:highlight w:val="none"/>
          <w:lang w:val="ru-RU"/>
        </w:rPr>
        <w:t xml:space="preserve">2</w:t>
      </w:r>
      <w:r>
        <w:rPr>
          <w:rFonts w:ascii="Times New Roman" w:hAnsi="Times New Roman"/>
          <w:b/>
          <w:sz w:val="28"/>
          <w:highlight w:val="none"/>
        </w:rPr>
      </w:r>
      <w:r>
        <w:rPr>
          <w:rFonts w:ascii="Times New Roman" w:hAnsi="Times New Roman"/>
          <w:b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i/>
          <w:sz w:val="28"/>
          <w:highlight w:val="none"/>
        </w:rPr>
      </w:pPr>
      <w:r>
        <w:rPr>
          <w:rStyle w:val="906"/>
          <w:b/>
          <w:sz w:val="28"/>
          <w:highlight w:val="none"/>
          <w:lang w:val="ru-RU"/>
        </w:rPr>
        <w:t xml:space="preserve">Компетенция:</w:t>
      </w:r>
      <w:r>
        <w:rPr>
          <w:rFonts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ОПК-2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Способен к анализу финансовых, экономических и социально-экономических показателей, характеризующих деятельность организаций воздушного транспорта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.</w:t>
      </w:r>
      <w:r>
        <w:rPr>
          <w:rFonts w:ascii="Times New Roman" w:hAnsi="Times New Roman"/>
          <w:i/>
          <w:sz w:val="28"/>
          <w:highlight w:val="none"/>
        </w:rPr>
      </w:r>
      <w:r>
        <w:rPr>
          <w:rFonts w:ascii="Times New Roman" w:hAnsi="Times New Roman"/>
          <w:i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Результаты обучения:</w:t>
      </w:r>
      <w:r>
        <w:rPr>
          <w:rFonts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Знает: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firstLine="709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/>
          <w:color w:val="000000"/>
          <w:sz w:val="28"/>
          <w:highlight w:val="none"/>
          <w:lang w:val="ru-RU"/>
        </w:rPr>
        <w:t xml:space="preserve">− 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понятия, определения и термины, относящиеся к изучаемой дисциплине;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930"/>
        <w:numPr>
          <w:ilvl w:val="0"/>
          <w:numId w:val="36"/>
        </w:numPr>
        <w:ind w:left="992" w:right="0" w:hanging="425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бизнес-процессы компании в сфере воздушного транспорта;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−</w:t>
      </w:r>
      <w:r>
        <w:rPr>
          <w:i/>
          <w:iCs/>
          <w:color w:val="000000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highlight w:val="none"/>
          <w:lang w:val="ru-RU"/>
        </w:rPr>
        <w:t xml:space="preserve">показатели деятельности транспортной компании в сфере воздушного транспорта и порядок их расчета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;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− 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методы анализа бизнес-процессов транспортной компании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.</w:t>
      </w:r>
      <w:r>
        <w:rPr>
          <w:highlight w:val="none"/>
        </w:rPr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Умеет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color w:val="000000"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рассчитывать основные показатели деятельности транспортной компании в сфере воздушного транспорта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;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выявлять факторы, влияющие на динамику показателей деятельности транспортной компании</w:t>
      </w:r>
      <w:r>
        <w:rPr>
          <w:rFonts w:ascii="Times New Roman" w:hAnsi="Times New Roman"/>
          <w:i/>
          <w:iCs/>
          <w:sz w:val="28"/>
          <w:highlight w:val="none"/>
        </w:rPr>
        <w:t xml:space="preserve">; 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проводить анализ динамики показателей деятельности транспортной компании и оценивать влияние отдельных факторов на рассматриваемые показатели.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Владеет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: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навыками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расчета показателей деятельности транспортной компании в сфере воздушного транспорта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; 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bCs/>
          <w:i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− навыками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анализа показателей выполнения бизнес-процессов транспортной компании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.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bCs/>
          <w:i/>
          <w:sz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Перечень заданий закрытого типа: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tbl>
      <w:tblPr>
        <w:tblStyle w:val="9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>
        <w:tblPrEx/>
        <w:trPr>
          <w:trHeight w:val="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Текст задания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1.Что из нижеперечисленного относится к количественным показателям?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Производительность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Объем продаж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Рентабельность продаж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Удельный вес материальных затрат в себестоимости продукции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2. Какие показатели относятся к качественным показателям в анализе?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Остаточная стоимость основных средств по бухгалтерскому балансу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Прямые производственные затраты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Средняя себестоимость единицы продукции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left="24" w:firstLine="0"/>
              <w:jc w:val="both"/>
              <w:spacing w:after="0" w:afterAutospacing="0" w:line="240" w:lineRule="auto"/>
              <w:widowControl w:val="off"/>
              <w:tabs>
                <w:tab w:val="left" w:pos="308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Количество часов, отработанных работником за месяц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3.Определите факторный показатель?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Величина прибыли при анализе динамики прибыль за период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Величина затрат при анализе динамики прибыли за период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Величина нераспределенной прибыли при анализе динамики прибыли за период</w:t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Выберите относительный показатель.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Прибыль от продаж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Рентабельность продаж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Доходы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308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Расходы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5.Рассчитайте абсолютное изменение выручки фирмы в рамках горизонтального анализа, при следующих данных. В отчете о финансовых результатах фирмы выручка за 2020 год составила 5 385 275 тыс. руб., а за 2019 год 5 735 080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349 805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- 349 805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11 120 355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- 6,1%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Д. +6,1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6.Рассчитайте относительное изменение выручки фирмы в рамках горизонтального анализа, при следующих данных. В отчете о финансовых результатах фирмы выручка за 2020 год составила </w:t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5 385 275 </w:t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тыс. руб., а за 2019 год 5 735 080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349 805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- 349 805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11 120 355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- 6,1%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Д. +6,1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7.Рассчитайте долю выручки, приходящейся на продажи продукции Б, в рамках вертикального анализа выручки. При следующих данных за 2020 год. В отчете о финан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совых результатах фирмы выручка за 2020 год составила 5 385 275 тыс. руб. В пояснениях к финансовой отчетности приведены следующие данные: выручка от продукции А = 1 346 319 тыс. руб.; выручка от продукции Б = 2 692 638 тыс. руб.; выручка от продукции В =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403 896 тыс. руб.; выручка от продукции Г = 942 423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25%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50%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7,5%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17,5%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8.Рассчитайте абсолютное изменение себестоимости продаж фирмы в рамках горизонтального анализа, при следующих данных. В отчете о финансовых результатах фирмы себестоимость продаж за 2020 год составила 4 630 810 тыс. руб., а за 2019 год 4 450 700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+ 180 110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- 180 110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+4,0%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- 4,0%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9.Рассч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итайте относительное изменение управленческих расходов фирмы в рамках горизонтального анализа, при следующих данных. В отчете о финансовых результатах фирмы управленческие расходы за 2020 год составила 1 310 580 тыс. руб., а за 2019 год 1 290 510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+ 20 070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- 20 070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+1,5%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-1,5%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10.Рассчитайте долю материальных затрат в структуре себестоимости продаж фирмы в рамках вертикального анализа, при следующих данных. В отчете о финансовых результатах фирмы себестоимость продаж за 2020 год составила 4 630 810 тыс. руб. В пояснениях к финан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совой отчетности приведены следующие данные: затраты на оплату труда составляют 1 389 243 тыс. руб., отчисления на социальные нужды 416 773 тыс. руб., материальные затраты 2 083 865 тыс. руб., амортизация 463 081 тыс. руб., прочие затраты 277 848 тыс.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9%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6%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В.10%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45%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pStyle w:val="892"/>
              <w:ind w:left="0" w:right="0" w:firstLine="0"/>
              <w:jc w:val="both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Д.30%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11.Рассчитайте материалоотдачу, если за период в бухгалтерском учете были отражены следующие хозяйственные операции: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-Дт 20 Кт 10 на сумму 300 000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Дт 25 Кт 10 на сумму 120 000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Дт 20 Кт70 на сумму 900 000 руб;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Дт20 Кт69 на сумму 270 000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Дт62 Кт 90.1 на сумму 2 400 000 руб;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Д90.3 Кт68  на сумму 400 000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 задании нужно сопоставить данные бухгалтерского учета с  материальны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затрат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и выручк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с НДС.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8,00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5,71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4,76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 1,51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12.Плановое значение прибыли на 1 рубль матери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альных затрат составляет 100. Фактическое значение прибыли от продаж составляет 1 500 000 руб. Фактическая сумма материальных затрат 12 500. Определите абсолютное отклонение фактического значения прибыли на 1 рубль материальных затрат от плановой величины.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120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1,2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0,008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13.Рассчитайте значение материалоемкости, если материалоотдача составляет 500. Прибыль от продаж равна 1 200 000  руб. Выручка составляет 8 000 000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0,002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16 000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0,15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14.Рассчитайте производительность труда при следующих условиях: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списочная численно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персонала составляет 50 человек;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за период были следующие бухгалтерские записи: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Дт20 Кт70 на сумму 2 000 000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Д26 Кт70 на сумму 1 000 000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Дт 62 Кт 90.1 на сумму 12 000 000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Дт 90.3 Кт 68 на сумму 2 000 000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240 000 руб./чел.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200 000 руб./чел.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40 000 руб./чел.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20 000 руб./чел.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15.Рассчитайте фондоотдачу продукции при следующих данных. Организация производит 500 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диниц продукции. Цена продажи продукции составляет 15 000 руб. Вся произведенная продукция была продана. Численность персонала составляет 20 человек. Стоимость основных средств на начало периода составляет 2 000 000 руб., на конец периода — 1 890 000 руб.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3,86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3,75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3,96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375 000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16.Рассчитайте фондовооруженность при следующих данных: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стоимость основных средств на начало периода составляет 3 000 000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за период поступило основных средств на 150 000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за период снизилась стоимость основных средств на 200 000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Численность человек составляет 70 человек.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42 857,14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45 000,00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40 000,00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42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17.Рассчитайте коэффициент износа основных средств при следующих данных: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сальдо по счету 01 «Основные средства» составляет 5 000 000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накопленная амортизация 3 000 000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2 000 000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8 000 000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18.По результатам анализа были выявлен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потери из-за брака. Рассчитайте стоимость брака в себестоимости производства продукции при следующих данных: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объем производства составляет 1000 единиц;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материальные затраты на весь объем производства составляют  500 000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затраты на оплату труда 2 000 000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страховые взносы 600 000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амортизация 200 000 руб.;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прочие затраты 150 000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количество брака 20 единиц продукции.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66 000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3 450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69 000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19.Проведите горизонтальный анализ суммы баланса при следующих данных: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стоимость внеоборотных активов на 31 декабря 2020г. составляет 5 000 000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стоимость внеоборотных активов на 31 декабря 2021г. составляет 4 900 000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стоимость оборотных активов на 31 декабря 2020 г. составляет 7 000 000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стоимость оборотных активов на 31 декабря 2021 г. составляет 8 000 000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баланс на 31 декабря 2020г. составляет 12 000 000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баланс на 31 дек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бря 2021г. составляет 12 900 000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1 000 000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900 000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20.Рассчитайте показатель, характеризующи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качество проданной продукции, при следующих данных: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объем продаж продукции за период составляет 200 ед.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средняя цена на продукцию на рынке составляет 16 000 руб.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количество продукции, возвращенной покупателями в гарантийный срок по причине невозможности гарантийного ремонта 5 ед.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Варианты ответов: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3 200 000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Б.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80 000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0,025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92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16 000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Перечень заданий открытого типа: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tbl>
      <w:tblPr>
        <w:tblStyle w:val="9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Текст задания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Как рассчитывается пассажирооборот</w:t>
            </w: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893"/>
              <w:numPr>
                <w:ilvl w:val="0"/>
                <w:numId w:val="15"/>
              </w:numPr>
              <w:ind w:left="0" w:firstLine="0"/>
              <w:spacing w:before="0" w:after="0"/>
              <w:tabs>
                <w:tab w:val="left" w:pos="284" w:leader="none"/>
                <w:tab w:val="left" w:pos="453" w:leader="none"/>
              </w:tabs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Как рассчитывается рентабельность активов?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3. Какие виды финансового состояния встречаются в практике компаний?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4. С помощью каких коэффициентов оценивается ликвидность?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5. Какие показатели используются в анализе финансовой устойчивости?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6. Укажите последовательные этапы применения метода учета затрат по видам деятельности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7. Как рассчитывается финансовый цикл?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8. Как рассчитывается оборачиваемость дебиторской задолженности?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9. Как рассчитывается средневзвешенная стоимость капитала?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10. </w:t>
            </w: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Что включает в себя собственный капитал компании?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11. Как проводится косвенный анализ денежных потоков?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12. Какие показатели используются для анализа эффективности использования трудовых ресурсов компании?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13. Какие показатели используются для анализа эффективности использования основных средств компании?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14. </w:t>
            </w: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Какие факторы влияют на доходность инвестиционных проектов компании в сфере воздушного транспорта?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15. Какие показатели используются для анализа эффективности использования материальных ресурсов транспортной компании?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i/>
          <w:sz w:val="28"/>
          <w:highlight w:val="none"/>
        </w:rPr>
      </w:pPr>
      <w:r>
        <w:rPr>
          <w:rStyle w:val="906"/>
          <w:b/>
          <w:sz w:val="28"/>
          <w:highlight w:val="none"/>
          <w:lang w:val="ru-RU"/>
        </w:rPr>
        <w:t xml:space="preserve">Компетенция</w:t>
      </w:r>
      <w:r>
        <w:rPr>
          <w:rFonts w:ascii="Times New Roman" w:hAnsi="Times New Roman"/>
          <w:sz w:val="28"/>
          <w:highlight w:val="none"/>
          <w:lang w:val="ru-RU"/>
        </w:rPr>
        <w:t xml:space="preserve">: 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УК-1 Способен </w:t>
      </w:r>
      <w:r>
        <w:rPr>
          <w:rFonts w:ascii="Times New Roman" w:hAnsi="Times New Roman"/>
          <w:i/>
          <w:sz w:val="28"/>
          <w:highlight w:val="none"/>
          <w:lang w:val="ru-RU"/>
        </w:rPr>
        <w:t xml:space="preserve">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i/>
          <w:sz w:val="28"/>
          <w:highlight w:val="none"/>
        </w:rPr>
      </w:r>
      <w:r>
        <w:rPr>
          <w:rFonts w:ascii="Times New Roman" w:hAnsi="Times New Roman"/>
          <w:i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Результаты обучения:</w:t>
      </w:r>
      <w:r>
        <w:rPr>
          <w:rFonts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Знает: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firstLine="709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способы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выявления рисков (проблемных ситуаций) транспортной компании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; 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подходы к оценке вероятности и ожидаемых последствий от проблемных ситуаций</w:t>
      </w:r>
      <w:r>
        <w:rPr>
          <w:rFonts w:ascii="Times New Roman" w:hAnsi="Times New Roman"/>
          <w:i/>
          <w:iCs/>
          <w:sz w:val="28"/>
          <w:highlight w:val="none"/>
        </w:rPr>
        <w:t xml:space="preserve">; 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стратегии по управлению рисками (проблемными ситуациями) в деятельности транспортной компании</w:t>
      </w:r>
      <w:r>
        <w:rPr>
          <w:rFonts w:ascii="Times New Roman" w:hAnsi="Times New Roman"/>
          <w:i/>
          <w:iCs/>
          <w:sz w:val="28"/>
          <w:highlight w:val="none"/>
        </w:rPr>
        <w:t xml:space="preserve">;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инструменты для анализа эффективности мероприятий по управлению рисками</w:t>
      </w:r>
      <w:r>
        <w:rPr>
          <w:rFonts w:ascii="Times New Roman" w:hAnsi="Times New Roman"/>
          <w:i/>
          <w:color w:val="000000"/>
          <w:sz w:val="28"/>
          <w:highlight w:val="none"/>
          <w:lang w:val="ru-RU"/>
        </w:rPr>
        <w:t xml:space="preserve">.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Умеет: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выявлять проблемные ситуации (риски) в деятельности компании и оценивать их влияние на показатели деятельности транспортной компании</w:t>
      </w:r>
      <w:r>
        <w:rPr>
          <w:rFonts w:ascii="Times New Roman" w:hAnsi="Times New Roman"/>
          <w:i/>
          <w:iCs/>
          <w:sz w:val="28"/>
          <w:highlight w:val="none"/>
        </w:rPr>
        <w:t xml:space="preserve">;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оценивать эффективность мероприятий по управлению проблемными ситуациями (рисками) транспортной компании</w:t>
      </w:r>
      <w:r>
        <w:rPr>
          <w:rFonts w:ascii="Times New Roman" w:hAnsi="Times New Roman"/>
          <w:i/>
          <w:color w:val="000000"/>
          <w:sz w:val="28"/>
          <w:highlight w:val="none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Владеет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:</w:t>
      </w:r>
      <w:r>
        <w:rPr>
          <w:rFonts w:ascii="Times New Roman" w:hAnsi="Times New Roman"/>
          <w:color w:val="000000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highlight w:val="none"/>
        </w:rPr>
      </w:r>
      <w:r>
        <w:rPr>
          <w:rFonts w:ascii="Times New Roman" w:hAnsi="Times New Roman"/>
          <w:color w:val="000000"/>
          <w:sz w:val="28"/>
          <w:highlight w:val="none"/>
        </w:rPr>
      </w:r>
    </w:p>
    <w:p>
      <w:pPr>
        <w:ind w:left="0" w:right="-108" w:firstLine="617"/>
        <w:jc w:val="both"/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i/>
          <w:iCs/>
          <w:color w:val="000000"/>
          <w:sz w:val="28"/>
          <w:highlight w:val="none"/>
          <w:lang w:val="ru-RU"/>
        </w:rPr>
        <w:t xml:space="preserve">−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навыками оценки последствий от наступления проблемных ситуаций (рисков) в деятельности транспортной компании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;</w:t>
      </w:r>
      <w:r>
        <w:rPr>
          <w:rFonts w:ascii="Times New Roman" w:hAnsi="Times New Roman"/>
          <w:i/>
          <w:iCs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929"/>
        <w:ind w:left="0" w:firstLine="709"/>
        <w:jc w:val="both"/>
        <w:spacing w:after="0" w:line="240" w:lineRule="auto"/>
        <w:tabs>
          <w:tab w:val="left" w:pos="2418" w:leader="none"/>
        </w:tabs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−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навыками 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оценки эффективности мероприятий по управлению проблемными ситуациями (рисками) транспортной компании в сфере воздушного транспорта</w:t>
      </w:r>
      <w:r>
        <w:rPr>
          <w:rFonts w:ascii="Times New Roman" w:hAnsi="Times New Roman"/>
          <w:i/>
          <w:iCs/>
          <w:sz w:val="28"/>
          <w:highlight w:val="none"/>
          <w:lang w:val="ru-RU"/>
        </w:rPr>
        <w:t xml:space="preserve">.</w:t>
      </w:r>
      <w:r>
        <w:rPr>
          <w:i/>
          <w:iCs/>
          <w:highlight w:val="none"/>
        </w:rPr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Перечень заданий закрытого типа: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tbl>
      <w:tblPr>
        <w:tblStyle w:val="9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Текст задания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Риск – это: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 неопределенность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 ситуация в результате которой юридическое или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3"/>
                <w:sz w:val="24"/>
                <w:szCs w:val="24"/>
                <w:highlight w:val="none"/>
                <w:lang w:val="ru-RU"/>
              </w:rPr>
              <w:t xml:space="preserve">физическое лицо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 выигрывает (получает прибыль)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В. возможность наступления какого либо неблагоприятного или благоприятного события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2. Неопределенность – это: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 «действие на удачу»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 неполнота или неточность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В. нет правильного ответа.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Внутренний риск – это: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 риск на уровне отдельной фирмы, компании, объединения их структурных звеньев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 риск, связанный спецификой отрасли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 риски на фондовом рынке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Г. риски, связанные с видами предприятия, объединения: производственные риски, риск маркетинга, финансовый риск, страховой риск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Оценка риска – это: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количественное определение затрат, связанных с видами риска, которые были выявлены на первом этапе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3"/>
                <w:sz w:val="24"/>
                <w:szCs w:val="24"/>
                <w:highlight w:val="none"/>
                <w:lang w:val="ru-RU"/>
              </w:rPr>
              <w:t xml:space="preserve">управления риском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 совокупность неопределенностей, возникающих в развитии большой системы в целом и ее составляющих в том 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Управление риском – это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 характеристика предпочтений человека в ситуациях, связанных с риском.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 это систематическая работа по анализу риска, выработки и принятия соответствующих мер для его минимизации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В. правильного ответа нет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6. Диверсификация – это: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А. процесс страхования риска от возможных потерь путем переноса риска изменения цены с одного лица на другое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Б. передача определенных рисков страховой компании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  <w:p>
            <w:pPr>
              <w:ind w:left="0" w:right="0" w:firstLine="0"/>
              <w:spacing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highlight w:val="none"/>
                <w:lang w:val="ru-RU"/>
              </w:rPr>
              <w:t xml:space="preserve">В. инвестирование финансовых средств в более чем в один вид активов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Какие потери можно обозначить как трудовые?</w:t>
              <w:br/>
              <w:t xml:space="preserve">А. потери рабочего времени</w:t>
              <w:br/>
              <w:t xml:space="preserve">Б. уменьшение выручки вследствие снижения цен на реализуемую продукцию</w:t>
              <w:br/>
              <w:t xml:space="preserve">В. уплата дополнительных налогов</w:t>
              <w:br/>
              <w:t xml:space="preserve">Г. невыполнение сроков сдачи объекта</w:t>
              <w:br/>
              <w:t xml:space="preserve">Д. потери материалов</w:t>
              <w:br/>
              <w:t xml:space="preserve">Е. ущерб здоровью</w:t>
              <w:br/>
              <w:t xml:space="preserve">Ж.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отери сырья</w:t>
              <w:br/>
              <w:t xml:space="preserve">З. ущерб репутации</w:t>
              <w:br/>
              <w:t xml:space="preserve">И. выплата штрафа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Какие потери можно считать финансовыми?</w:t>
              <w:br/>
              <w:t xml:space="preserve">А. потери ценных бумаг</w:t>
              <w:br/>
              <w:t xml:space="preserve">Б. потери сырья</w:t>
              <w:br/>
              <w:t xml:space="preserve">В. невыполнение сроков сдачи объекта</w:t>
              <w:br/>
              <w:t xml:space="preserve">Г. выплата штрафа</w:t>
              <w:br/>
              <w:t xml:space="preserve">Д. уплата дополнительных налогов</w:t>
              <w:br/>
              <w:t xml:space="preserve">Е. уменьшение выручки вследствие снижения цен на реализуемую продукцию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Какие потери можно отнести к потерям времени</w:t>
              <w:br/>
              <w:t xml:space="preserve">А. невыполнение сроков сдачи объекта</w:t>
              <w:br/>
              <w:t xml:space="preserve">Б. потери ценных бумаг</w:t>
              <w:br/>
              <w:t xml:space="preserve">В. выплата штрафа</w:t>
              <w:br/>
              <w:t xml:space="preserve">Г. уменьшение выручки вследствие снижения цен на реализуемую продукцию</w:t>
              <w:br/>
              <w:t xml:space="preserve">Д. уплата дополнительных налогов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10.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Как называется процесс использования механизмов уменьшения рисков?</w:t>
              <w:br/>
              <w:t xml:space="preserve">А. диверсификация</w:t>
              <w:br/>
              <w:t xml:space="preserve">Б. лимитирование</w:t>
              <w:br/>
              <w:t xml:space="preserve">В. хеджирование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Что такое анализ риска?</w:t>
              <w:br/>
              <w:t xml:space="preserve">А.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        <w:br/>
              <w:t xml:space="preserve">Б. систематическое научное исследование степени риска, которому подвержены конкретные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 объекты, виды деятельности и проекты</w:t>
              <w:br/>
              <w:t xml:space="preserve">В.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12.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Что такое идентификация риска?</w:t>
              <w:br/>
              <w:t xml:space="preserve">А.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        <w:br/>
              <w:t xml:space="preserve">Б. начальный этап системы мероприятий по управлению рисками, состоящий в систе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матическом выявлении рисков, характерных для определенного вида деятельности, и определении их характеристик</w:t>
              <w:br/>
              <w:t xml:space="preserve">В систематическое научное исследование степени риска, которому подвержены конкретные объекты, виды деятельности и проекты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spacing w:before="0" w:beforeAutospacing="0"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13.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Под максимальным объемом страховой защиты предприятия по конкретным видам страхуемых финансовых рисков понимается:</w:t>
              <w:br/>
              <w:t xml:space="preserve">А. страховой тариф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</w:r>
          </w:p>
          <w:p>
            <w:pPr>
              <w:pStyle w:val="893"/>
              <w:spacing w:before="0" w:beforeAutospacing="0"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Б. страховая сумма</w:t>
              <w:br/>
              <w:t xml:space="preserve">В. страховая премия</w:t>
            </w: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На какие виды подразделяются риски по уровню финансовых потерь?</w:t>
              <w:br/>
              <w:t xml:space="preserve">А. допустимый, критический и катастрофический</w:t>
              <w:br/>
              <w:t xml:space="preserve">Б. недопустимый, допустимый и критический;</w:t>
              <w:br/>
              <w:t xml:space="preserve">В. критический, катастрофический и недопустимый.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Как называются риски, которые обусловлены деятельностью самого предприятия и его контактной аудиторией?</w:t>
              <w:br/>
              <w:t xml:space="preserve">А. внешними</w:t>
              <w:br/>
              <w:t xml:space="preserve">Б. внутренними</w:t>
              <w:br/>
              <w:t xml:space="preserve">В. чистыми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16.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Чем измеряется величина или степень риска?</w:t>
              <w:br/>
              <w:t xml:space="preserve">А. средним ожидаемым значение</w:t>
              <w:br/>
              <w:t xml:space="preserve">Б. изменчивостью возможного результата</w:t>
              <w:br/>
              <w:t xml:space="preserve">В. оба варианта верны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Выберите метод оценки риска, который используется в ситуациях, когда принимаемые решения сильно зависят от принятых ранее и определяют сценарии дальнейшего развития событий?</w:t>
              <w:br/>
              <w:t xml:space="preserve">А. имитационное моделирование</w:t>
              <w:br/>
              <w:t xml:space="preserve">Б. вероятностный метод</w:t>
              <w:br/>
              <w:t xml:space="preserve">В. учет рисков при расчете чи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стой приведенной стоимости</w:t>
              <w:br/>
              <w:t xml:space="preserve">Г. построение дерева решений</w:t>
              <w:br/>
              <w:t xml:space="preserve">Д. анализ чувствительности</w:t>
              <w:br/>
              <w:t xml:space="preserve">Е. метод сценарие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18.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Выберите метод оценки риска, который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результаты?</w:t>
              <w:br/>
              <w:t xml:space="preserve">А. учет рисков при расчете чистой приведенной стоимо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сти</w:t>
              <w:br/>
              <w:t xml:space="preserve">Б. анализ чувствительности</w:t>
              <w:br/>
              <w:t xml:space="preserve">В. построение дерева решений</w:t>
              <w:br/>
              <w:t xml:space="preserve">Г. вероятностный метод</w:t>
              <w:br/>
              <w:t xml:space="preserve">Д. метод сценариев</w:t>
              <w:br/>
              <w:t xml:space="preserve">Е. имитационное моделирование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19.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Распределение риска по этапам работы относится к:</w:t>
              <w:br/>
              <w:t xml:space="preserve">А. методы локализации рисков</w:t>
              <w:br/>
              <w:t xml:space="preserve">Б. методы компенсации рисков</w:t>
              <w:br/>
              <w:t xml:space="preserve">В. методы уклонения от рисков</w:t>
              <w:br/>
              <w:t xml:space="preserve">Г. методы диверсификации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textDirection w:val="lrTb"/>
            <w:noWrap w:val="false"/>
          </w:tcPr>
          <w:p>
            <w:pPr>
              <w:pStyle w:val="893"/>
              <w:ind w:left="0" w:firstLine="0"/>
              <w:spacing w:after="0" w:afterAutospacing="0" w:line="240" w:lineRule="auto"/>
              <w:tabs>
                <w:tab w:val="left" w:pos="0" w:leader="none"/>
                <w:tab w:val="left" w:pos="312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20.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  <w:lang w:val="ru-RU"/>
              </w:rPr>
              <w:t xml:space="preserve">Обучение и инструктирование персонала относится к:</w:t>
              <w:br/>
              <w:t xml:space="preserve">А. методы уклонения от рисков</w:t>
              <w:br/>
              <w:t xml:space="preserve">Б. методы компенсации рисков</w:t>
              <w:br/>
              <w:t xml:space="preserve">В. методы диверсификации рисков</w:t>
              <w:br/>
              <w:t xml:space="preserve">Г. методы локализации рисков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ind w:left="0" w:firstLine="708"/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  <w:t xml:space="preserve">Перечень заданий открытого типа:</w:t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tbl>
      <w:tblPr>
        <w:tblStyle w:val="94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Текст задания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Что такое риск?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35"/>
              </w:numPr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Чем отличается риск от неопределенности?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3. Что относится к внешним риск факторам?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Что такое внутренние риск-факторы?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5. Что такое индикаторы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6. Какими способами может проводиться оценка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highlight w:val="none"/>
                <w:lang w:val="ru-RU"/>
              </w:rPr>
            </w:r>
            <w:bookmarkStart w:id="2" w:name="_GoBack"/>
            <w:r>
              <w:rPr>
                <w:highlight w:val="none"/>
                <w:lang w:val="ru-RU"/>
              </w:rPr>
            </w:r>
            <w:bookmarkEnd w:id="2"/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7. Что такое качественная оценка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8. Что такое количественная оценка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9. Какие способы оценки вероятности Вы знаете?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10. </w:t>
            </w: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Как риск влияет на финансовые показатели деятельности компании?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11. Какие стратегии управления рисками Вы знаете?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11. Что подразумевает стратегия минимизации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12. Что такое остаточный риск?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13. Как проводится оценка эффективности мероприятий по снижению риска?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14. Какие меры могут быть приняты для снижения риска банкротства бизнеса?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pStyle w:val="929"/>
              <w:ind w:left="0" w:firstLine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  <w:lang w:val="ru-RU"/>
              </w:rPr>
              <w:t xml:space="preserve">15. Какую роль играет управление риска при принятии стратегических решений?</w:t>
            </w: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  <w:lang w:val="ru-RU"/>
        </w:rPr>
      </w: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XO Thames">
    <w:panose1 w:val="02020603050405020304"/>
  </w:font>
  <w:font w:name="Segoe UI">
    <w:panose1 w:val="020B0502040204020203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44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64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4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4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36"/>
    <w:link w:val="914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36"/>
    <w:link w:val="940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36"/>
    <w:link w:val="906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36"/>
    <w:link w:val="93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36"/>
    <w:link w:val="912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892"/>
    <w:next w:val="892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36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892"/>
    <w:next w:val="892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36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892"/>
    <w:next w:val="89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36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892"/>
    <w:next w:val="892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36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before="0" w:after="0" w:line="240" w:lineRule="auto"/>
    </w:pPr>
  </w:style>
  <w:style w:type="character" w:styleId="746">
    <w:name w:val="Title Char"/>
    <w:basedOn w:val="936"/>
    <w:link w:val="934"/>
    <w:uiPriority w:val="10"/>
    <w:rPr>
      <w:sz w:val="48"/>
      <w:szCs w:val="48"/>
    </w:rPr>
  </w:style>
  <w:style w:type="character" w:styleId="747">
    <w:name w:val="Subtitle Char"/>
    <w:basedOn w:val="936"/>
    <w:link w:val="932"/>
    <w:uiPriority w:val="11"/>
    <w:rPr>
      <w:sz w:val="24"/>
      <w:szCs w:val="24"/>
    </w:rPr>
  </w:style>
  <w:style w:type="paragraph" w:styleId="748">
    <w:name w:val="Quote"/>
    <w:basedOn w:val="892"/>
    <w:next w:val="89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2"/>
    <w:next w:val="89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89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basedOn w:val="936"/>
    <w:link w:val="752"/>
    <w:uiPriority w:val="99"/>
  </w:style>
  <w:style w:type="paragraph" w:styleId="754">
    <w:name w:val="Footer"/>
    <w:basedOn w:val="89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basedOn w:val="936"/>
    <w:link w:val="754"/>
    <w:uiPriority w:val="99"/>
  </w:style>
  <w:style w:type="paragraph" w:styleId="75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892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36"/>
    <w:uiPriority w:val="99"/>
    <w:unhideWhenUsed/>
    <w:rPr>
      <w:vertAlign w:val="superscript"/>
    </w:rPr>
  </w:style>
  <w:style w:type="paragraph" w:styleId="886">
    <w:name w:val="endnote text"/>
    <w:basedOn w:val="892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36"/>
    <w:uiPriority w:val="99"/>
    <w:semiHidden/>
    <w:unhideWhenUsed/>
    <w:rPr>
      <w:vertAlign w:val="superscript"/>
    </w:rPr>
  </w:style>
  <w:style w:type="paragraph" w:styleId="889">
    <w:name w:val="TOC Heading"/>
    <w:uiPriority w:val="39"/>
    <w:unhideWhenUsed/>
  </w:style>
  <w:style w:type="paragraph" w:styleId="890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1" w:default="1">
    <w:name w:val="Normal"/>
    <w:link w:val="892"/>
    <w:uiPriority w:val="0"/>
    <w:qFormat/>
  </w:style>
  <w:style w:type="character" w:styleId="892" w:default="1">
    <w:name w:val="Normal"/>
    <w:link w:val="891"/>
  </w:style>
  <w:style w:type="paragraph" w:styleId="893">
    <w:name w:val="Normal (Web)"/>
    <w:basedOn w:val="891"/>
    <w:link w:val="8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94">
    <w:name w:val="Normal (Web)"/>
    <w:basedOn w:val="892"/>
    <w:link w:val="893"/>
    <w:rPr>
      <w:rFonts w:ascii="Times New Roman" w:hAnsi="Times New Roman"/>
      <w:sz w:val="24"/>
    </w:rPr>
  </w:style>
  <w:style w:type="paragraph" w:styleId="895">
    <w:name w:val="toc 2"/>
    <w:next w:val="891"/>
    <w:link w:val="896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96">
    <w:name w:val="toc 2"/>
    <w:link w:val="895"/>
    <w:rPr>
      <w:rFonts w:ascii="XO Thames" w:hAnsi="XO Thames"/>
      <w:sz w:val="28"/>
    </w:rPr>
  </w:style>
  <w:style w:type="paragraph" w:styleId="897">
    <w:name w:val="toc 4"/>
    <w:next w:val="891"/>
    <w:link w:val="898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98">
    <w:name w:val="toc 4"/>
    <w:link w:val="897"/>
    <w:rPr>
      <w:rFonts w:ascii="XO Thames" w:hAnsi="XO Thames"/>
      <w:sz w:val="28"/>
    </w:rPr>
  </w:style>
  <w:style w:type="paragraph" w:styleId="899">
    <w:name w:val="toc 6"/>
    <w:next w:val="891"/>
    <w:link w:val="90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00">
    <w:name w:val="toc 6"/>
    <w:link w:val="899"/>
    <w:rPr>
      <w:rFonts w:ascii="XO Thames" w:hAnsi="XO Thames"/>
      <w:sz w:val="28"/>
    </w:rPr>
  </w:style>
  <w:style w:type="paragraph" w:styleId="901">
    <w:name w:val="toc 7"/>
    <w:next w:val="891"/>
    <w:link w:val="902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02">
    <w:name w:val="toc 7"/>
    <w:link w:val="901"/>
    <w:rPr>
      <w:rFonts w:ascii="XO Thames" w:hAnsi="XO Thames"/>
      <w:sz w:val="28"/>
    </w:rPr>
  </w:style>
  <w:style w:type="paragraph" w:styleId="903">
    <w:name w:val="Endnote"/>
    <w:link w:val="904"/>
    <w:pPr>
      <w:ind w:left="0" w:firstLine="851"/>
      <w:jc w:val="both"/>
    </w:pPr>
    <w:rPr>
      <w:rFonts w:ascii="XO Thames" w:hAnsi="XO Thames"/>
      <w:sz w:val="22"/>
    </w:rPr>
  </w:style>
  <w:style w:type="character" w:styleId="904">
    <w:name w:val="Endnote"/>
    <w:link w:val="903"/>
    <w:rPr>
      <w:rFonts w:ascii="XO Thames" w:hAnsi="XO Thames"/>
      <w:sz w:val="22"/>
    </w:rPr>
  </w:style>
  <w:style w:type="paragraph" w:styleId="905">
    <w:name w:val="Heading 3"/>
    <w:basedOn w:val="891"/>
    <w:next w:val="891"/>
    <w:link w:val="906"/>
    <w:uiPriority w:val="9"/>
    <w:qFormat/>
    <w:pPr>
      <w:keepLines/>
      <w:keepNext/>
      <w:spacing w:before="40" w:after="0"/>
      <w:outlineLvl w:val="2"/>
    </w:pPr>
    <w:rPr>
      <w:rFonts w:ascii="Times New Roman" w:hAnsi="Times New Roman"/>
      <w:sz w:val="24"/>
    </w:rPr>
  </w:style>
  <w:style w:type="character" w:styleId="906">
    <w:name w:val="Heading 3"/>
    <w:basedOn w:val="892"/>
    <w:link w:val="905"/>
    <w:rPr>
      <w:rFonts w:ascii="Times New Roman" w:hAnsi="Times New Roman"/>
      <w:sz w:val="24"/>
    </w:rPr>
  </w:style>
  <w:style w:type="paragraph" w:styleId="907">
    <w:name w:val="Balloon Text"/>
    <w:basedOn w:val="891"/>
    <w:link w:val="908"/>
    <w:pPr>
      <w:spacing w:after="0" w:line="240" w:lineRule="auto"/>
    </w:pPr>
    <w:rPr>
      <w:rFonts w:ascii="Segoe UI" w:hAnsi="Segoe UI"/>
      <w:sz w:val="18"/>
    </w:rPr>
  </w:style>
  <w:style w:type="character" w:styleId="908">
    <w:name w:val="Balloon Text"/>
    <w:basedOn w:val="892"/>
    <w:link w:val="907"/>
    <w:rPr>
      <w:rFonts w:ascii="Segoe UI" w:hAnsi="Segoe UI"/>
      <w:sz w:val="18"/>
    </w:rPr>
  </w:style>
  <w:style w:type="paragraph" w:styleId="909">
    <w:name w:val="toc 3"/>
    <w:next w:val="891"/>
    <w:link w:val="91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10">
    <w:name w:val="toc 3"/>
    <w:link w:val="909"/>
    <w:rPr>
      <w:rFonts w:ascii="XO Thames" w:hAnsi="XO Thames"/>
      <w:sz w:val="28"/>
    </w:rPr>
  </w:style>
  <w:style w:type="paragraph" w:styleId="911">
    <w:name w:val="Heading 5"/>
    <w:next w:val="891"/>
    <w:link w:val="91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912">
    <w:name w:val="Heading 5"/>
    <w:link w:val="911"/>
    <w:rPr>
      <w:rFonts w:ascii="XO Thames" w:hAnsi="XO Thames"/>
      <w:b/>
      <w:sz w:val="22"/>
    </w:rPr>
  </w:style>
  <w:style w:type="paragraph" w:styleId="913">
    <w:name w:val="Heading 1"/>
    <w:basedOn w:val="891"/>
    <w:link w:val="914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24"/>
    </w:rPr>
  </w:style>
  <w:style w:type="character" w:styleId="914">
    <w:name w:val="Heading 1"/>
    <w:basedOn w:val="892"/>
    <w:link w:val="913"/>
    <w:rPr>
      <w:rFonts w:ascii="Times New Roman" w:hAnsi="Times New Roman"/>
      <w:b/>
      <w:sz w:val="24"/>
    </w:rPr>
  </w:style>
  <w:style w:type="paragraph" w:styleId="915">
    <w:name w:val="Hyperlink"/>
    <w:link w:val="916"/>
    <w:rPr>
      <w:color w:val="0000ff"/>
      <w:u w:val="single"/>
    </w:rPr>
  </w:style>
  <w:style w:type="character" w:styleId="916">
    <w:name w:val="Hyperlink"/>
    <w:link w:val="915"/>
    <w:rPr>
      <w:color w:val="0000ff"/>
      <w:u w:val="single"/>
    </w:rPr>
  </w:style>
  <w:style w:type="paragraph" w:styleId="917">
    <w:name w:val="Footnote"/>
    <w:link w:val="918"/>
    <w:pPr>
      <w:ind w:left="0" w:firstLine="851"/>
      <w:jc w:val="both"/>
    </w:pPr>
    <w:rPr>
      <w:rFonts w:ascii="XO Thames" w:hAnsi="XO Thames"/>
      <w:sz w:val="22"/>
    </w:rPr>
  </w:style>
  <w:style w:type="character" w:styleId="918">
    <w:name w:val="Footnote"/>
    <w:link w:val="917"/>
    <w:rPr>
      <w:rFonts w:ascii="XO Thames" w:hAnsi="XO Thames"/>
      <w:sz w:val="22"/>
    </w:rPr>
  </w:style>
  <w:style w:type="paragraph" w:styleId="919">
    <w:name w:val="toc 1"/>
    <w:next w:val="891"/>
    <w:link w:val="92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20">
    <w:name w:val="toc 1"/>
    <w:link w:val="919"/>
    <w:rPr>
      <w:rFonts w:ascii="XO Thames" w:hAnsi="XO Thames"/>
      <w:b/>
      <w:sz w:val="28"/>
    </w:rPr>
  </w:style>
  <w:style w:type="paragraph" w:styleId="921">
    <w:name w:val="Header and Footer"/>
    <w:link w:val="922"/>
    <w:pPr>
      <w:jc w:val="both"/>
      <w:spacing w:line="240" w:lineRule="auto"/>
    </w:pPr>
    <w:rPr>
      <w:rFonts w:ascii="XO Thames" w:hAnsi="XO Thames"/>
      <w:sz w:val="28"/>
    </w:rPr>
  </w:style>
  <w:style w:type="character" w:styleId="922">
    <w:name w:val="Header and Footer"/>
    <w:link w:val="921"/>
    <w:rPr>
      <w:rFonts w:ascii="XO Thames" w:hAnsi="XO Thames"/>
      <w:sz w:val="28"/>
    </w:rPr>
  </w:style>
  <w:style w:type="paragraph" w:styleId="923">
    <w:name w:val="toc 9"/>
    <w:next w:val="891"/>
    <w:link w:val="924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24">
    <w:name w:val="toc 9"/>
    <w:link w:val="923"/>
    <w:rPr>
      <w:rFonts w:ascii="XO Thames" w:hAnsi="XO Thames"/>
      <w:sz w:val="28"/>
    </w:rPr>
  </w:style>
  <w:style w:type="paragraph" w:styleId="925">
    <w:name w:val="toc 8"/>
    <w:next w:val="891"/>
    <w:link w:val="92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26">
    <w:name w:val="toc 8"/>
    <w:link w:val="925"/>
    <w:rPr>
      <w:rFonts w:ascii="XO Thames" w:hAnsi="XO Thames"/>
      <w:sz w:val="28"/>
    </w:rPr>
  </w:style>
  <w:style w:type="paragraph" w:styleId="927">
    <w:name w:val="toc 5"/>
    <w:next w:val="891"/>
    <w:link w:val="92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28">
    <w:name w:val="toc 5"/>
    <w:link w:val="927"/>
    <w:rPr>
      <w:rFonts w:ascii="XO Thames" w:hAnsi="XO Thames"/>
      <w:sz w:val="28"/>
    </w:rPr>
  </w:style>
  <w:style w:type="paragraph" w:styleId="929">
    <w:name w:val="List Paragraph"/>
    <w:basedOn w:val="891"/>
    <w:link w:val="930"/>
    <w:pPr>
      <w:contextualSpacing/>
      <w:ind w:left="720" w:firstLine="0"/>
    </w:pPr>
  </w:style>
  <w:style w:type="character" w:styleId="930">
    <w:name w:val="List Paragraph"/>
    <w:basedOn w:val="892"/>
    <w:link w:val="929"/>
  </w:style>
  <w:style w:type="paragraph" w:styleId="931">
    <w:name w:val="Subtitle"/>
    <w:next w:val="891"/>
    <w:link w:val="93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32">
    <w:name w:val="Subtitle"/>
    <w:link w:val="931"/>
    <w:rPr>
      <w:rFonts w:ascii="XO Thames" w:hAnsi="XO Thames"/>
      <w:i/>
      <w:sz w:val="24"/>
    </w:rPr>
  </w:style>
  <w:style w:type="paragraph" w:styleId="933">
    <w:name w:val="Title"/>
    <w:next w:val="891"/>
    <w:link w:val="93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34">
    <w:name w:val="Title"/>
    <w:link w:val="933"/>
    <w:rPr>
      <w:rFonts w:ascii="XO Thames" w:hAnsi="XO Thames"/>
      <w:b/>
      <w:caps/>
      <w:sz w:val="40"/>
    </w:rPr>
  </w:style>
  <w:style w:type="paragraph" w:styleId="935">
    <w:name w:val="Default Paragraph Font"/>
    <w:link w:val="936"/>
  </w:style>
  <w:style w:type="character" w:styleId="936">
    <w:name w:val="Default Paragraph Font"/>
    <w:link w:val="935"/>
  </w:style>
  <w:style w:type="paragraph" w:styleId="937">
    <w:name w:val="Heading 4"/>
    <w:basedOn w:val="891"/>
    <w:next w:val="891"/>
    <w:link w:val="938"/>
    <w:uiPriority w:val="9"/>
    <w:qFormat/>
    <w:pPr>
      <w:keepLines/>
      <w:keepNext/>
      <w:spacing w:before="40" w:after="0"/>
      <w:outlineLvl w:val="3"/>
    </w:pPr>
    <w:rPr>
      <w:rFonts w:ascii="Times New Roman" w:hAnsi="Times New Roman"/>
      <w:sz w:val="24"/>
    </w:rPr>
  </w:style>
  <w:style w:type="character" w:styleId="938">
    <w:name w:val="Heading 4"/>
    <w:basedOn w:val="892"/>
    <w:link w:val="937"/>
    <w:rPr>
      <w:rFonts w:ascii="Times New Roman" w:hAnsi="Times New Roman"/>
      <w:sz w:val="24"/>
    </w:rPr>
  </w:style>
  <w:style w:type="paragraph" w:styleId="939">
    <w:name w:val="Heading 2"/>
    <w:basedOn w:val="891"/>
    <w:next w:val="891"/>
    <w:link w:val="940"/>
    <w:uiPriority w:val="9"/>
    <w:qFormat/>
    <w:pPr>
      <w:keepLines/>
      <w:keepNext/>
      <w:spacing w:before="40" w:after="0"/>
      <w:outlineLvl w:val="1"/>
    </w:pPr>
    <w:rPr>
      <w:rFonts w:ascii="Times New Roman" w:hAnsi="Times New Roman"/>
      <w:sz w:val="24"/>
    </w:rPr>
  </w:style>
  <w:style w:type="character" w:styleId="940">
    <w:name w:val="Heading 2"/>
    <w:basedOn w:val="892"/>
    <w:link w:val="939"/>
    <w:rPr>
      <w:rFonts w:ascii="Times New Roman" w:hAnsi="Times New Roman"/>
      <w:sz w:val="24"/>
    </w:rPr>
  </w:style>
  <w:style w:type="table" w:styleId="94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42">
    <w:name w:val="Table Grid"/>
    <w:basedOn w:val="941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2024-04-21T15:39:13Z</dcterms:modified>
</cp:coreProperties>
</file>