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t xml:space="preserve">Примерные оценочные материалы, применяемые при проведении</w:t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t xml:space="preserve">промежуточной аттестации по дисциплине (модулю) </w:t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position w:val="-1"/>
          <w:sz w:val="28"/>
          <w:szCs w:val="28"/>
          <w:lang w:eastAsia="ru-RU"/>
        </w:rPr>
        <w:t xml:space="preserve">Бизнес-английский</w:t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</w:p>
    <w:p>
      <w:pPr>
        <w:contextualSpacing/>
        <w:ind w:left="1" w:firstLine="706"/>
        <w:jc w:val="both"/>
        <w:spacing w:after="0" w:line="276" w:lineRule="auto"/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  <w:tab/>
        <w:t xml:space="preserve">При проведении промежуточной аттестации обучающемуся предлагается подготовить монологическое высказывание по одной из тем.</w:t>
      </w: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</w:p>
    <w:p>
      <w:pPr>
        <w:ind w:left="1" w:hanging="3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position w:val="-1"/>
          <w:sz w:val="28"/>
          <w:szCs w:val="28"/>
          <w:u w:val="singl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Times New Roman" w:hAnsi="Times New Roman" w:eastAsia="Times New Roman" w:cs="Times New Roman"/>
          <w:color w:val="000000"/>
          <w:position w:val="-1"/>
          <w:sz w:val="28"/>
          <w:szCs w:val="28"/>
          <w:u w:val="single"/>
          <w:lang w:eastAsia="ru-RU"/>
        </w:rPr>
        <w:t xml:space="preserve">Примерный перечень тем для краткого монологического высказывания. </w:t>
      </w:r>
      <w:r>
        <w:rPr>
          <w:rFonts w:ascii="Times New Roman" w:hAnsi="Times New Roman" w:eastAsia="Times New Roman" w:cs="Times New Roman"/>
          <w:color w:val="000000"/>
          <w:position w:val="-1"/>
          <w:sz w:val="28"/>
          <w:szCs w:val="28"/>
          <w:u w:val="single"/>
          <w:lang w:eastAsia="ru-RU"/>
        </w:rPr>
      </w:r>
    </w:p>
    <w:p>
      <w:pPr>
        <w:ind w:left="1090"/>
        <w:spacing w:after="0" w:line="240" w:lineRule="auto"/>
        <w:widowControl w:val="off"/>
        <w:tabs>
          <w:tab w:val="left" w:pos="1091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83"/>
        <w:numPr>
          <w:ilvl w:val="0"/>
          <w:numId w:val="43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</w:t>
      </w:r>
      <w:r>
        <w:rPr>
          <w:sz w:val="28"/>
          <w:szCs w:val="28"/>
          <w:lang w:val="en-US"/>
        </w:rPr>
        <w:t xml:space="preserve">nline and offline communication etiquett</w:t>
      </w:r>
      <w:r>
        <w:rPr>
          <w:sz w:val="28"/>
          <w:szCs w:val="28"/>
          <w:lang w:val="en-US"/>
        </w:rPr>
        <w:t xml:space="preserve">e in a business environment.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3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Business correspondence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3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Contract drafting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3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</w:t>
      </w:r>
      <w:r>
        <w:rPr>
          <w:sz w:val="28"/>
          <w:szCs w:val="28"/>
          <w:lang w:val="en-US"/>
        </w:rPr>
        <w:t xml:space="preserve">eetings.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3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</w:t>
      </w:r>
      <w:bookmarkStart w:id="0" w:name="undefined"/>
      <w:r/>
      <w:bookmarkEnd w:id="0"/>
      <w:r>
        <w:rPr>
          <w:sz w:val="28"/>
          <w:szCs w:val="28"/>
          <w:lang w:val="en-US"/>
        </w:rPr>
        <w:t xml:space="preserve">eam building events.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3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Methods of working on projects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3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Business proposal letter,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3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Business letter of enquiry.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3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Business letter of complaint.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3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Type of contract.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3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Incoterms - international commercial terminology.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3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Features of business communication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3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Types of enterprises (on the example of transport sphere)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783"/>
        <w:numPr>
          <w:ilvl w:val="0"/>
          <w:numId w:val="43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Business and commercial relations in the transport sector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spacing w:line="14" w:lineRule="auto"/>
      <w:rPr>
        <w:sz w:val="20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1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 xml:space="preserve"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752;o:allowoverlap:true;o:allowincell:true;mso-position-horizontal-relative:page;margin-left:313.25pt;mso-position-horizontal:absolute;mso-position-vertical-relative:page;margin-top:780.90pt;mso-position-vertical:absolute;width:12.60pt;height:13.0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</w:rPr>
                      <w:t xml:space="preserve"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98" w:hanging="72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353" w:hanging="855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89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9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4" w:hanging="3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2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58" w:hanging="180"/>
      </w:p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4" w:hanging="3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58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95" w:hanging="793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95" w:hanging="793"/>
      </w:pPr>
      <w:rPr>
        <w:rFonts w:hint="default"/>
        <w:b/>
        <w:spacing w:val="-1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2" w:hanging="792"/>
        <w:jc w:val="right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15" w:hanging="7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593" w:hanging="7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1" w:hanging="7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48" w:hanging="7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26" w:hanging="7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04" w:hanging="792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9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22" w:hanging="49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56" w:hanging="49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92" w:hanging="49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28" w:hanging="49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65" w:hanging="49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01" w:hanging="49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37" w:hanging="49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73" w:hanging="493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898" w:hanging="180"/>
      </w:pPr>
    </w:lvl>
  </w:abstractNum>
  <w:num w:numId="1">
    <w:abstractNumId w:val="36"/>
  </w:num>
  <w:num w:numId="2">
    <w:abstractNumId w:val="21"/>
  </w:num>
  <w:num w:numId="3">
    <w:abstractNumId w:val="14"/>
  </w:num>
  <w:num w:numId="4">
    <w:abstractNumId w:val="3"/>
  </w:num>
  <w:num w:numId="5">
    <w:abstractNumId w:val="40"/>
  </w:num>
  <w:num w:numId="6">
    <w:abstractNumId w:val="30"/>
  </w:num>
  <w:num w:numId="7">
    <w:abstractNumId w:val="29"/>
  </w:num>
  <w:num w:numId="8">
    <w:abstractNumId w:val="26"/>
  </w:num>
  <w:num w:numId="9">
    <w:abstractNumId w:val="19"/>
  </w:num>
  <w:num w:numId="10">
    <w:abstractNumId w:val="15"/>
  </w:num>
  <w:num w:numId="11">
    <w:abstractNumId w:val="41"/>
  </w:num>
  <w:num w:numId="12">
    <w:abstractNumId w:val="1"/>
  </w:num>
  <w:num w:numId="13">
    <w:abstractNumId w:val="25"/>
  </w:num>
  <w:num w:numId="14">
    <w:abstractNumId w:val="23"/>
  </w:num>
  <w:num w:numId="15">
    <w:abstractNumId w:val="10"/>
  </w:num>
  <w:num w:numId="16">
    <w:abstractNumId w:val="5"/>
  </w:num>
  <w:num w:numId="17">
    <w:abstractNumId w:val="28"/>
  </w:num>
  <w:num w:numId="18">
    <w:abstractNumId w:val="0"/>
  </w:num>
  <w:num w:numId="19">
    <w:abstractNumId w:val="31"/>
  </w:num>
  <w:num w:numId="20">
    <w:abstractNumId w:val="7"/>
  </w:num>
  <w:num w:numId="21">
    <w:abstractNumId w:val="4"/>
  </w:num>
  <w:num w:numId="22">
    <w:abstractNumId w:val="32"/>
  </w:num>
  <w:num w:numId="23">
    <w:abstractNumId w:val="22"/>
  </w:num>
  <w:num w:numId="24">
    <w:abstractNumId w:val="37"/>
  </w:num>
  <w:num w:numId="25">
    <w:abstractNumId w:val="9"/>
  </w:num>
  <w:num w:numId="26">
    <w:abstractNumId w:val="8"/>
  </w:num>
  <w:num w:numId="27">
    <w:abstractNumId w:val="38"/>
  </w:num>
  <w:num w:numId="28">
    <w:abstractNumId w:val="20"/>
  </w:num>
  <w:num w:numId="29">
    <w:abstractNumId w:val="35"/>
  </w:num>
  <w:num w:numId="30">
    <w:abstractNumId w:val="39"/>
  </w:num>
  <w:num w:numId="31">
    <w:abstractNumId w:val="2"/>
  </w:num>
  <w:num w:numId="32">
    <w:abstractNumId w:val="27"/>
  </w:num>
  <w:num w:numId="33">
    <w:abstractNumId w:val="6"/>
  </w:num>
  <w:num w:numId="34">
    <w:abstractNumId w:val="24"/>
  </w:num>
  <w:num w:numId="35">
    <w:abstractNumId w:val="11"/>
  </w:num>
  <w:num w:numId="36">
    <w:abstractNumId w:val="34"/>
  </w:num>
  <w:num w:numId="37">
    <w:abstractNumId w:val="33"/>
  </w:num>
  <w:num w:numId="38">
    <w:abstractNumId w:val="12"/>
  </w:num>
  <w:num w:numId="39">
    <w:abstractNumId w:val="13"/>
  </w:num>
  <w:num w:numId="40">
    <w:abstractNumId w:val="17"/>
  </w:num>
  <w:num w:numId="41">
    <w:abstractNumId w:val="16"/>
  </w:num>
  <w:num w:numId="42">
    <w:abstractNumId w:val="18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3"/>
    <w:link w:val="77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71"/>
    <w:next w:val="77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7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71"/>
    <w:next w:val="77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7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71"/>
    <w:next w:val="77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7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71"/>
    <w:next w:val="77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1"/>
    <w:next w:val="7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1"/>
    <w:next w:val="7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1"/>
    <w:next w:val="7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1"/>
    <w:next w:val="7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73"/>
    <w:link w:val="781"/>
    <w:uiPriority w:val="10"/>
    <w:rPr>
      <w:sz w:val="48"/>
      <w:szCs w:val="48"/>
    </w:rPr>
  </w:style>
  <w:style w:type="paragraph" w:styleId="36">
    <w:name w:val="Subtitle"/>
    <w:basedOn w:val="771"/>
    <w:next w:val="77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3"/>
    <w:link w:val="36"/>
    <w:uiPriority w:val="11"/>
    <w:rPr>
      <w:sz w:val="24"/>
      <w:szCs w:val="24"/>
    </w:rPr>
  </w:style>
  <w:style w:type="paragraph" w:styleId="38">
    <w:name w:val="Quote"/>
    <w:basedOn w:val="771"/>
    <w:next w:val="7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1"/>
    <w:next w:val="7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7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73"/>
    <w:link w:val="42"/>
    <w:uiPriority w:val="99"/>
  </w:style>
  <w:style w:type="paragraph" w:styleId="44">
    <w:name w:val="Footer"/>
    <w:basedOn w:val="77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73"/>
    <w:link w:val="44"/>
    <w:uiPriority w:val="99"/>
  </w:style>
  <w:style w:type="paragraph" w:styleId="46">
    <w:name w:val="Caption"/>
    <w:basedOn w:val="771"/>
    <w:next w:val="7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7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3"/>
    <w:uiPriority w:val="99"/>
    <w:unhideWhenUsed/>
    <w:rPr>
      <w:vertAlign w:val="superscript"/>
    </w:rPr>
  </w:style>
  <w:style w:type="paragraph" w:styleId="178">
    <w:name w:val="endnote text"/>
    <w:basedOn w:val="7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3"/>
    <w:uiPriority w:val="99"/>
    <w:semiHidden/>
    <w:unhideWhenUsed/>
    <w:rPr>
      <w:vertAlign w:val="superscript"/>
    </w:rPr>
  </w:style>
  <w:style w:type="paragraph" w:styleId="181">
    <w:name w:val="toc 1"/>
    <w:basedOn w:val="771"/>
    <w:next w:val="7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1"/>
    <w:next w:val="7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1"/>
    <w:next w:val="7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1"/>
    <w:next w:val="7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1"/>
    <w:next w:val="7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1"/>
    <w:next w:val="7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1"/>
    <w:next w:val="7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1"/>
    <w:next w:val="7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1"/>
    <w:next w:val="7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1"/>
    <w:next w:val="771"/>
    <w:uiPriority w:val="99"/>
    <w:unhideWhenUsed/>
    <w:pPr>
      <w:spacing w:after="0" w:afterAutospacing="0"/>
    </w:pPr>
  </w:style>
  <w:style w:type="paragraph" w:styleId="771" w:default="1">
    <w:name w:val="Normal"/>
    <w:qFormat/>
  </w:style>
  <w:style w:type="paragraph" w:styleId="772">
    <w:name w:val="Heading 1"/>
    <w:basedOn w:val="771"/>
    <w:link w:val="776"/>
    <w:uiPriority w:val="9"/>
    <w:qFormat/>
    <w:pPr>
      <w:ind w:left="930"/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773" w:default="1">
    <w:name w:val="Default Paragraph Font"/>
    <w:uiPriority w:val="1"/>
    <w:semiHidden/>
    <w:unhideWhenUsed/>
  </w:style>
  <w:style w:type="table" w:styleId="7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character" w:styleId="776" w:customStyle="1">
    <w:name w:val="Заголовок 1 Знак"/>
    <w:basedOn w:val="773"/>
    <w:link w:val="772"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table" w:styleId="777">
    <w:name w:val="Table Grid"/>
    <w:basedOn w:val="77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79">
    <w:name w:val="Body Text"/>
    <w:basedOn w:val="771"/>
    <w:link w:val="780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780" w:customStyle="1">
    <w:name w:val="Основной текст Знак"/>
    <w:basedOn w:val="773"/>
    <w:link w:val="779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781">
    <w:name w:val="Title"/>
    <w:basedOn w:val="771"/>
    <w:link w:val="782"/>
    <w:uiPriority w:val="10"/>
    <w:qFormat/>
    <w:pPr>
      <w:ind w:left="433" w:right="481"/>
      <w:jc w:val="center"/>
      <w:spacing w:before="133" w:after="0" w:line="240" w:lineRule="auto"/>
      <w:widowControl w:val="off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782" w:customStyle="1">
    <w:name w:val="Название Знак"/>
    <w:basedOn w:val="773"/>
    <w:link w:val="781"/>
    <w:uiPriority w:val="10"/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783">
    <w:name w:val="List Paragraph"/>
    <w:basedOn w:val="771"/>
    <w:uiPriority w:val="1"/>
    <w:qFormat/>
    <w:pPr>
      <w:ind w:left="222" w:hanging="281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784" w:customStyle="1">
    <w:name w:val="Table Paragraph"/>
    <w:basedOn w:val="771"/>
    <w:uiPriority w:val="1"/>
    <w:qFormat/>
    <w:pPr>
      <w:ind w:left="50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785">
    <w:name w:val="Hyperlink"/>
    <w:basedOn w:val="773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РУТ (МИИТ) Кафедра "Иностранный язык"</cp:lastModifiedBy>
  <cp:revision>20</cp:revision>
  <dcterms:created xsi:type="dcterms:W3CDTF">2022-10-27T09:39:00Z</dcterms:created>
  <dcterms:modified xsi:type="dcterms:W3CDTF">2025-05-06T11:52:23Z</dcterms:modified>
</cp:coreProperties>
</file>