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727AB0">
        <w:rPr>
          <w:b/>
        </w:rPr>
        <w:t xml:space="preserve">Испытания и исследования </w:t>
      </w:r>
      <w:r w:rsidR="00DE6092">
        <w:rPr>
          <w:b/>
        </w:rPr>
        <w:t>НТТС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вопроса, прив</w:t>
      </w:r>
      <w:bookmarkStart w:id="0" w:name="_GoBack"/>
      <w:bookmarkEnd w:id="0"/>
      <w:r>
        <w:t xml:space="preserve">еденных в </w:t>
      </w:r>
      <w:r w:rsidR="00DE6092">
        <w:t>зачетном</w:t>
      </w:r>
      <w:r>
        <w:t xml:space="preserve"> билете, из нижеприведенного списка</w:t>
      </w:r>
      <w:r w:rsidR="002024DD">
        <w:t xml:space="preserve"> и решить задачу</w:t>
      </w:r>
      <w:r>
        <w:t xml:space="preserve">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rFonts w:eastAsia="Calibri"/>
          <w:color w:val="auto"/>
          <w:szCs w:val="28"/>
          <w:lang w:eastAsia="en-US"/>
        </w:rPr>
      </w:pPr>
      <w:r w:rsidRPr="00DE6092">
        <w:rPr>
          <w:rFonts w:eastAsia="Calibri"/>
          <w:color w:val="auto"/>
          <w:szCs w:val="28"/>
          <w:lang w:eastAsia="en-US"/>
        </w:rPr>
        <w:t xml:space="preserve">Цели и задачи </w:t>
      </w:r>
      <w:r w:rsidR="00DE6092" w:rsidRPr="00DE6092">
        <w:rPr>
          <w:rFonts w:eastAsia="Calibri"/>
          <w:color w:val="auto"/>
          <w:szCs w:val="28"/>
          <w:lang w:eastAsia="en-US"/>
        </w:rPr>
        <w:t>экспериментальных исследований и испытаний</w:t>
      </w:r>
      <w:r w:rsidRPr="00DE6092">
        <w:rPr>
          <w:rFonts w:eastAsia="Calibri"/>
          <w:color w:val="auto"/>
          <w:szCs w:val="28"/>
          <w:lang w:eastAsia="en-US"/>
        </w:rPr>
        <w:t xml:space="preserve"> машин</w:t>
      </w:r>
      <w:r w:rsidR="00DE6092" w:rsidRPr="00DE6092">
        <w:rPr>
          <w:rFonts w:eastAsia="Calibri"/>
          <w:color w:val="auto"/>
          <w:szCs w:val="28"/>
          <w:lang w:eastAsia="en-US"/>
        </w:rPr>
        <w:t>.</w:t>
      </w:r>
      <w:r w:rsidRPr="00DE6092">
        <w:rPr>
          <w:rFonts w:eastAsia="Calibri"/>
          <w:color w:val="auto"/>
          <w:szCs w:val="28"/>
          <w:lang w:eastAsia="en-US"/>
        </w:rPr>
        <w:t xml:space="preserve"> 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rFonts w:eastAsia="Calibri"/>
          <w:color w:val="auto"/>
          <w:szCs w:val="28"/>
          <w:lang w:eastAsia="en-US"/>
        </w:rPr>
      </w:pPr>
      <w:r w:rsidRPr="00DE6092">
        <w:rPr>
          <w:rFonts w:eastAsia="Calibri"/>
          <w:color w:val="auto"/>
          <w:szCs w:val="28"/>
          <w:lang w:eastAsia="en-US"/>
        </w:rPr>
        <w:t xml:space="preserve">Место </w:t>
      </w:r>
      <w:r w:rsidR="00DE6092" w:rsidRPr="00DE6092">
        <w:rPr>
          <w:rFonts w:eastAsia="Calibri"/>
          <w:color w:val="auto"/>
          <w:szCs w:val="28"/>
          <w:lang w:eastAsia="en-US"/>
        </w:rPr>
        <w:t xml:space="preserve">экспериментальных исследований и испытаний </w:t>
      </w:r>
      <w:r w:rsidRPr="00DE6092">
        <w:rPr>
          <w:rFonts w:eastAsia="Calibri"/>
          <w:color w:val="auto"/>
          <w:szCs w:val="28"/>
          <w:lang w:eastAsia="en-US"/>
        </w:rPr>
        <w:t>в создании машин</w:t>
      </w:r>
      <w:r w:rsidR="00DE6092" w:rsidRPr="00DE6092">
        <w:rPr>
          <w:rFonts w:eastAsia="Calibri"/>
          <w:color w:val="auto"/>
          <w:szCs w:val="28"/>
          <w:lang w:eastAsia="en-US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Основы теории планирования эксперимента.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Планирование одно- и многофакторного эксперимента.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Планирование трехфакторного эксперимента и уравнение регрессии.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Матрица планирования эксперимента.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 xml:space="preserve">Проверка </w:t>
      </w:r>
      <w:proofErr w:type="spellStart"/>
      <w:r w:rsidRPr="00DE6092">
        <w:rPr>
          <w:color w:val="auto"/>
          <w:szCs w:val="28"/>
        </w:rPr>
        <w:t>воспроизводимости</w:t>
      </w:r>
      <w:proofErr w:type="spellEnd"/>
      <w:r w:rsidRPr="00DE6092">
        <w:rPr>
          <w:color w:val="auto"/>
          <w:szCs w:val="28"/>
        </w:rPr>
        <w:t xml:space="preserve"> результатов эксперимента по критерию </w:t>
      </w:r>
      <w:proofErr w:type="spellStart"/>
      <w:r w:rsidRPr="00DE6092">
        <w:rPr>
          <w:color w:val="auto"/>
          <w:szCs w:val="28"/>
        </w:rPr>
        <w:t>Кохрена</w:t>
      </w:r>
      <w:proofErr w:type="spellEnd"/>
      <w:r w:rsidRPr="00DE6092">
        <w:rPr>
          <w:color w:val="auto"/>
          <w:szCs w:val="28"/>
        </w:rPr>
        <w:t>.</w:t>
      </w:r>
      <w:r w:rsidRPr="00DE6092">
        <w:rPr>
          <w:iCs/>
          <w:color w:val="auto"/>
          <w:szCs w:val="28"/>
        </w:rPr>
        <w:t xml:space="preserve"> Критерии однородности.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 xml:space="preserve">Регрессионная зависимость и оценка коэффициентов уравнения регрессии по критерию </w:t>
      </w:r>
      <w:proofErr w:type="spellStart"/>
      <w:r w:rsidRPr="00DE6092">
        <w:rPr>
          <w:color w:val="auto"/>
          <w:szCs w:val="28"/>
        </w:rPr>
        <w:t>Стъюдента</w:t>
      </w:r>
      <w:proofErr w:type="spellEnd"/>
      <w:r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Проверка адекватности регрессионной модели по критерию Фишера.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Анализ уравнения регрессии.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Точечные, интервальны и интегральные характеристики законов распределения числовых характеристик результатов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Статистические исследования результатов испытаний (полигон, гистограмма и интегральная функция закона распределения.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Ошибки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lastRenderedPageBreak/>
        <w:t>Доверительный интервал и доверительная вероятность.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Оценка вероятности безотказной работы по плану 1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Оценка вероятности безотказной работы по плану 2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Проведение экспериментальных исследований и выбор плана.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Испытания при формировании ремонтных комплектов.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Проверка состоятельности гипотез.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Измерения основных и производных физических величин.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Цена деления прибора, чувствительность, интервал деления измерительной шкалы, Диапазон показаний.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Погрешности измерений.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 xml:space="preserve">Законы подобия в механике. 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Точность измерения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Виды экспериментальных исследований.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bCs/>
          <w:color w:val="auto"/>
          <w:szCs w:val="28"/>
        </w:rPr>
        <w:t>Теория ошибок.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Передаточные характеристики.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Принцип обратной связи.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Постановка эксперимента и их виды.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Программа и методика проведения эксперимента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Факторы планирования. Значимые факторы и их выбор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iCs/>
          <w:color w:val="auto"/>
          <w:szCs w:val="28"/>
        </w:rPr>
        <w:t>Уравнение регрессии.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iCs/>
          <w:color w:val="auto"/>
          <w:szCs w:val="28"/>
        </w:rPr>
        <w:t>Точечные оценки случайных величин.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iCs/>
          <w:color w:val="auto"/>
          <w:szCs w:val="28"/>
        </w:rPr>
        <w:t>Дифференциальные оценки случайных величин</w:t>
      </w:r>
      <w:r w:rsidR="00DE6092" w:rsidRPr="00DE6092">
        <w:rPr>
          <w:iCs/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Arial Unicode MS"/>
          <w:color w:val="auto"/>
          <w:szCs w:val="28"/>
        </w:rPr>
        <w:t>Алгоритм получения регрессионной зависимости.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Arial Unicode MS"/>
          <w:color w:val="auto"/>
          <w:szCs w:val="28"/>
        </w:rPr>
        <w:t>Устранение методических погрешностей.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Блоки измерительных устройств. Передаточные характеристики.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Классификация датчиков.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положения.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давления.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lastRenderedPageBreak/>
        <w:t>Датчики температуры.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расхода газа (воздуха).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Принцип действия вихревого расходомера.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Принцип действия ультразвукового расходомера.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proofErr w:type="spellStart"/>
      <w:r w:rsidRPr="00DE6092">
        <w:rPr>
          <w:color w:val="auto"/>
          <w:szCs w:val="28"/>
        </w:rPr>
        <w:t>Термоанемометрические</w:t>
      </w:r>
      <w:proofErr w:type="spellEnd"/>
      <w:r w:rsidRPr="00DE6092">
        <w:rPr>
          <w:color w:val="auto"/>
          <w:szCs w:val="28"/>
        </w:rPr>
        <w:t xml:space="preserve"> расходомеры.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влажности.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уровня жидкости.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нагрузок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Тактильны датчики.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Чувствительные элементы датчиков.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Усилительные устройства.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Способы подключения датчиков и измерительных устройств в измерительную цепь.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 xml:space="preserve">Виды </w:t>
      </w:r>
      <w:proofErr w:type="spellStart"/>
      <w:r w:rsidRPr="00DE6092">
        <w:rPr>
          <w:color w:val="auto"/>
          <w:szCs w:val="28"/>
        </w:rPr>
        <w:t>тензорезисторов</w:t>
      </w:r>
      <w:proofErr w:type="spellEnd"/>
      <w:r w:rsidRPr="00DE6092">
        <w:rPr>
          <w:color w:val="auto"/>
          <w:szCs w:val="28"/>
        </w:rPr>
        <w:t>. Их преимущества и недостатки.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Датчики компенсаций вредных воздействий.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Основные показатели работоспособности элементов машин.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Испытания и их виды.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Организация и цели проведения испытаний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Основа испытаний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Постановка эксперимента и их виды.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Виды измерительных средств при проведении испытаний и их выбор.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Программа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Методика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Рабочий план испытаний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Уровни испытательных исследований.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Факторы, влияющие на точность и надежность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Задачи при организации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Виды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Исследовательские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lastRenderedPageBreak/>
        <w:t>Предварительные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Квалификационные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Приемо-сдаточные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Периодические (краткие контрольные).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Инспекционные (длительные контрольные испытания)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Испытания на надежность.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Эксплуатационные испытания</w:t>
      </w:r>
      <w:r w:rsidR="00DE6092" w:rsidRPr="00DE6092">
        <w:rPr>
          <w:color w:val="auto"/>
          <w:szCs w:val="28"/>
        </w:rPr>
        <w:t>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Сертификационные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Стендовые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Элементы, подвергающиеся стендовым испытаниям гидросистема, подвеска, двигатели и пр.).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Разделы программы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Комплексные испытания.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Основные технико-экономические показатели машин.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Условия проведения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Методика проведения испытаний.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color w:val="auto"/>
          <w:szCs w:val="28"/>
        </w:rPr>
        <w:t>Тяговые испытания машин.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 xml:space="preserve">Цели и задачи испытаний. 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 xml:space="preserve">Стендовые испытания двигателя. 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Тяговые испытания машин.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Испытания оборудования.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Калибровка приборов.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 xml:space="preserve">Обработка результатов проведения испытаний. </w:t>
      </w:r>
    </w:p>
    <w:p w:rsidR="002024DD" w:rsidRPr="00DE6092" w:rsidRDefault="002024DD" w:rsidP="00DE6092">
      <w:pPr>
        <w:numPr>
          <w:ilvl w:val="0"/>
          <w:numId w:val="4"/>
        </w:numPr>
        <w:tabs>
          <w:tab w:val="left" w:pos="426"/>
        </w:tabs>
        <w:spacing w:after="0" w:line="360" w:lineRule="auto"/>
        <w:ind w:right="0"/>
        <w:contextualSpacing/>
        <w:jc w:val="left"/>
        <w:rPr>
          <w:color w:val="auto"/>
          <w:szCs w:val="28"/>
        </w:rPr>
      </w:pPr>
      <w:r w:rsidRPr="00DE6092">
        <w:rPr>
          <w:rFonts w:eastAsia="Calibri"/>
          <w:color w:val="auto"/>
          <w:szCs w:val="28"/>
          <w:lang w:eastAsia="en-US"/>
        </w:rPr>
        <w:t>Экспериментальное определение основных экономических показателей машин.</w:t>
      </w:r>
    </w:p>
    <w:p w:rsidR="00DE6092" w:rsidRDefault="00DE6092" w:rsidP="00DE6092">
      <w:pPr>
        <w:spacing w:after="0" w:line="360" w:lineRule="auto"/>
        <w:ind w:left="0" w:right="0" w:firstLine="0"/>
        <w:rPr>
          <w:b/>
          <w:color w:val="auto"/>
          <w:sz w:val="26"/>
          <w:szCs w:val="26"/>
        </w:rPr>
      </w:pPr>
    </w:p>
    <w:p w:rsidR="00DE6092" w:rsidRDefault="00DE6092" w:rsidP="00DE6092">
      <w:pPr>
        <w:spacing w:after="0" w:line="360" w:lineRule="auto"/>
        <w:ind w:left="0" w:right="0" w:firstLine="0"/>
        <w:rPr>
          <w:b/>
          <w:color w:val="auto"/>
          <w:sz w:val="26"/>
          <w:szCs w:val="26"/>
        </w:rPr>
      </w:pPr>
    </w:p>
    <w:p w:rsidR="00DE6092" w:rsidRDefault="00DE6092" w:rsidP="00DE6092">
      <w:pPr>
        <w:spacing w:after="0" w:line="360" w:lineRule="auto"/>
        <w:ind w:left="0" w:right="0" w:firstLine="0"/>
      </w:pPr>
    </w:p>
    <w:p w:rsidR="00DE6092" w:rsidRDefault="00DE6092" w:rsidP="002024DD">
      <w:pPr>
        <w:spacing w:after="0" w:line="360" w:lineRule="auto"/>
        <w:ind w:left="0" w:right="0"/>
        <w:jc w:val="center"/>
      </w:pPr>
    </w:p>
    <w:p w:rsidR="002024DD" w:rsidRDefault="002024DD" w:rsidP="002024DD">
      <w:pPr>
        <w:spacing w:after="0" w:line="360" w:lineRule="auto"/>
        <w:ind w:left="0" w:right="0"/>
        <w:jc w:val="center"/>
      </w:pPr>
      <w:r>
        <w:lastRenderedPageBreak/>
        <w:t>Примерный перечень задач</w:t>
      </w:r>
    </w:p>
    <w:p w:rsidR="002024DD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  <w:r w:rsidRPr="002024DD">
        <w:rPr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 xml:space="preserve">Провести определительные испытания 30 изделий для оценки показателя вероятности безотказной работы </w:t>
      </w:r>
      <w:r w:rsidRPr="002024DD">
        <w:rPr>
          <w:rFonts w:eastAsia="Arial Unicode MS"/>
          <w:i/>
          <w:color w:val="auto"/>
          <w:sz w:val="26"/>
          <w:szCs w:val="26"/>
        </w:rPr>
        <w:t xml:space="preserve">р </w:t>
      </w:r>
      <w:r w:rsidRPr="002024DD">
        <w:rPr>
          <w:rFonts w:eastAsia="Arial Unicode MS"/>
          <w:color w:val="auto"/>
          <w:sz w:val="26"/>
          <w:szCs w:val="26"/>
        </w:rPr>
        <w:t xml:space="preserve">при следующих исходных данных: число отказов равно 8, доверительная вероятность </w:t>
      </w:r>
      <w:r w:rsidRPr="002024DD">
        <w:rPr>
          <w:rFonts w:eastAsia="Arial Unicode MS"/>
          <w:color w:val="auto"/>
          <w:sz w:val="26"/>
          <w:szCs w:val="26"/>
          <w:lang w:val="en-US"/>
        </w:rPr>
        <w:t>Q</w:t>
      </w:r>
      <w:r w:rsidRPr="002024DD">
        <w:rPr>
          <w:rFonts w:eastAsia="Arial Unicode MS"/>
          <w:color w:val="auto"/>
          <w:sz w:val="26"/>
          <w:szCs w:val="26"/>
        </w:rPr>
        <w:t xml:space="preserve"> = 0,9, относительная доверительная ошибка </w:t>
      </w:r>
      <w:r w:rsidRPr="002024DD">
        <w:rPr>
          <w:rFonts w:eastAsia="Arial Unicode MS"/>
          <w:color w:val="auto"/>
          <w:sz w:val="26"/>
          <w:szCs w:val="26"/>
          <w:lang w:val="en-US"/>
        </w:rPr>
        <w:t>δ</w:t>
      </w:r>
      <w:r w:rsidRPr="002024DD">
        <w:rPr>
          <w:rFonts w:eastAsia="Arial Unicode MS"/>
          <w:color w:val="auto"/>
          <w:sz w:val="26"/>
          <w:szCs w:val="26"/>
          <w:vertAlign w:val="subscript"/>
        </w:rPr>
        <w:t>р</w:t>
      </w:r>
      <w:r w:rsidRPr="002024DD">
        <w:rPr>
          <w:rFonts w:eastAsia="Arial Unicode MS"/>
          <w:color w:val="auto"/>
          <w:sz w:val="26"/>
          <w:szCs w:val="26"/>
        </w:rPr>
        <w:t xml:space="preserve"> = 0,5  закон распределения экспоненциальный, изделия восстанавливаемые, ожидаемый уровень вероятности безотказной работы р</w:t>
      </w:r>
      <w:r w:rsidRPr="002024DD">
        <w:rPr>
          <w:rFonts w:eastAsia="Arial Unicode MS"/>
          <w:color w:val="auto"/>
          <w:sz w:val="26"/>
          <w:szCs w:val="26"/>
          <w:vertAlign w:val="subscript"/>
        </w:rPr>
        <w:t>ож</w:t>
      </w:r>
      <w:r w:rsidRPr="002024DD">
        <w:rPr>
          <w:rFonts w:eastAsia="Arial Unicode MS"/>
          <w:color w:val="auto"/>
          <w:sz w:val="26"/>
          <w:szCs w:val="26"/>
        </w:rPr>
        <w:t xml:space="preserve"> (</w:t>
      </w:r>
      <w:r w:rsidRPr="002024DD">
        <w:rPr>
          <w:rFonts w:eastAsia="Arial Unicode MS"/>
          <w:color w:val="auto"/>
          <w:sz w:val="26"/>
          <w:szCs w:val="26"/>
          <w:lang w:val="en-US"/>
        </w:rPr>
        <w:t>τ</w:t>
      </w:r>
      <w:r w:rsidRPr="002024DD">
        <w:rPr>
          <w:rFonts w:eastAsia="Arial Unicode MS"/>
          <w:color w:val="auto"/>
          <w:sz w:val="26"/>
          <w:szCs w:val="26"/>
        </w:rPr>
        <w:t>) = 0,96 за время  τ = 200 часов.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 xml:space="preserve">Задача </w:t>
      </w:r>
    </w:p>
    <w:p w:rsidR="002024DD" w:rsidRDefault="002024DD" w:rsidP="002024DD">
      <w:pPr>
        <w:spacing w:after="0" w:line="240" w:lineRule="auto"/>
        <w:ind w:left="0" w:right="0" w:firstLine="0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 xml:space="preserve">По результатам эксперимента с доверительной вероятностью </w:t>
      </w:r>
      <w:r w:rsidRPr="002024DD">
        <w:rPr>
          <w:rFonts w:eastAsia="Arial Unicode MS"/>
          <w:color w:val="auto"/>
          <w:sz w:val="26"/>
          <w:szCs w:val="26"/>
          <w:lang w:val="en-US"/>
        </w:rPr>
        <w:t>Q</w:t>
      </w:r>
      <w:r w:rsidRPr="002024DD">
        <w:rPr>
          <w:rFonts w:eastAsia="Arial Unicode MS"/>
          <w:color w:val="auto"/>
          <w:sz w:val="26"/>
          <w:szCs w:val="26"/>
        </w:rPr>
        <w:t xml:space="preserve"> = 0,8 и относительной доверительной ошибкой </w:t>
      </w:r>
      <w:r w:rsidRPr="002024DD">
        <w:rPr>
          <w:rFonts w:eastAsia="Arial Unicode MS"/>
          <w:color w:val="auto"/>
          <w:sz w:val="26"/>
          <w:szCs w:val="26"/>
          <w:lang w:val="en-US"/>
        </w:rPr>
        <w:t>δ</w:t>
      </w:r>
      <w:r w:rsidRPr="002024DD">
        <w:rPr>
          <w:rFonts w:eastAsia="Arial Unicode MS"/>
          <w:color w:val="auto"/>
          <w:sz w:val="26"/>
          <w:szCs w:val="26"/>
          <w:vertAlign w:val="subscript"/>
        </w:rPr>
        <w:t>Т</w:t>
      </w:r>
      <w:r w:rsidRPr="002024DD">
        <w:rPr>
          <w:rFonts w:eastAsia="Arial Unicode MS"/>
          <w:color w:val="auto"/>
          <w:sz w:val="26"/>
          <w:szCs w:val="26"/>
        </w:rPr>
        <w:t xml:space="preserve"> = 0,3, оценить среднее время безотказной работы 10 изделий, если известно, что изделие является восстанавливаемым и время безотказной работы изделия подчиняется экспоненциальному закону. Ожидаемое время наработки на отказ </w:t>
      </w:r>
      <w:proofErr w:type="spellStart"/>
      <w:r w:rsidRPr="002024DD">
        <w:rPr>
          <w:rFonts w:eastAsia="Arial Unicode MS"/>
          <w:color w:val="auto"/>
          <w:sz w:val="26"/>
          <w:szCs w:val="26"/>
        </w:rPr>
        <w:t>Т</w:t>
      </w:r>
      <w:r w:rsidRPr="002024DD">
        <w:rPr>
          <w:rFonts w:eastAsia="Arial Unicode MS"/>
          <w:color w:val="auto"/>
          <w:sz w:val="26"/>
          <w:szCs w:val="26"/>
          <w:vertAlign w:val="subscript"/>
        </w:rPr>
        <w:t>ож</w:t>
      </w:r>
      <w:proofErr w:type="spellEnd"/>
      <w:r w:rsidRPr="002024DD">
        <w:rPr>
          <w:rFonts w:eastAsia="Arial Unicode MS"/>
          <w:color w:val="auto"/>
          <w:sz w:val="26"/>
          <w:szCs w:val="26"/>
        </w:rPr>
        <w:t xml:space="preserve"> = 350 часов.</w:t>
      </w:r>
    </w:p>
    <w:p w:rsidR="002024DD" w:rsidRPr="002024DD" w:rsidRDefault="002024DD" w:rsidP="002024DD">
      <w:pPr>
        <w:spacing w:after="0" w:line="240" w:lineRule="auto"/>
        <w:ind w:left="0" w:right="0" w:firstLine="0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rPr>
          <w:rFonts w:eastAsia="Arial Unicode MS"/>
          <w:color w:val="aut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8"/>
        <w:gridCol w:w="835"/>
        <w:gridCol w:w="835"/>
        <w:gridCol w:w="840"/>
        <w:gridCol w:w="814"/>
        <w:gridCol w:w="819"/>
        <w:gridCol w:w="814"/>
        <w:gridCol w:w="814"/>
        <w:gridCol w:w="814"/>
        <w:gridCol w:w="815"/>
        <w:gridCol w:w="817"/>
      </w:tblGrid>
      <w:tr w:rsidR="002024DD" w:rsidRPr="002024DD" w:rsidTr="009402D5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№ изделия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10</w:t>
            </w:r>
          </w:p>
        </w:tc>
      </w:tr>
      <w:tr w:rsidR="002024DD" w:rsidRPr="002024DD" w:rsidTr="009402D5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Время наработки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195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</w:tr>
      <w:tr w:rsidR="002024DD" w:rsidRPr="002024DD" w:rsidTr="009402D5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Отказ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</w:p>
        </w:tc>
      </w:tr>
    </w:tbl>
    <w:p w:rsidR="002024DD" w:rsidRPr="002024DD" w:rsidRDefault="002024DD" w:rsidP="002024DD">
      <w:pPr>
        <w:spacing w:after="0" w:line="240" w:lineRule="auto"/>
        <w:ind w:left="0" w:right="0" w:firstLine="0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2024DD">
        <w:rPr>
          <w:color w:val="auto"/>
          <w:sz w:val="26"/>
          <w:szCs w:val="26"/>
        </w:rPr>
        <w:t xml:space="preserve">Оценить восстанавливаемость детали по критерию </w:t>
      </w:r>
      <w:r w:rsidRPr="002024DD">
        <w:rPr>
          <w:color w:val="auto"/>
          <w:sz w:val="26"/>
          <w:szCs w:val="26"/>
          <w:lang w:val="en-US"/>
        </w:rPr>
        <w:t>d</w:t>
      </w:r>
      <w:r w:rsidRPr="002024DD">
        <w:rPr>
          <w:color w:val="auto"/>
          <w:sz w:val="26"/>
          <w:szCs w:val="26"/>
        </w:rPr>
        <w:t xml:space="preserve"> при уровне значимости α = 0,10 по следующим исходным данным: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751"/>
        <w:gridCol w:w="752"/>
        <w:gridCol w:w="752"/>
        <w:gridCol w:w="749"/>
        <w:gridCol w:w="749"/>
        <w:gridCol w:w="749"/>
        <w:gridCol w:w="749"/>
        <w:gridCol w:w="752"/>
        <w:gridCol w:w="753"/>
        <w:gridCol w:w="777"/>
        <w:gridCol w:w="743"/>
      </w:tblGrid>
      <w:tr w:rsidR="002024DD" w:rsidRPr="002024DD" w:rsidTr="009402D5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Номер замера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11</w:t>
            </w:r>
          </w:p>
        </w:tc>
      </w:tr>
      <w:tr w:rsidR="002024DD" w:rsidRPr="002024DD" w:rsidTr="009402D5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Величина износа, мкм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20</w:t>
            </w:r>
          </w:p>
        </w:tc>
      </w:tr>
    </w:tbl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>Определить погрешность измерения длины детали 340 мм из-за температурной деформации, если температура детали из стали 45 равна  42</w:t>
      </w:r>
      <w:r w:rsidRPr="002024DD">
        <w:rPr>
          <w:rFonts w:eastAsia="Arial Unicode MS"/>
          <w:color w:val="auto"/>
          <w:sz w:val="26"/>
          <w:szCs w:val="26"/>
          <w:vertAlign w:val="superscript"/>
        </w:rPr>
        <w:t>о</w:t>
      </w:r>
      <w:r w:rsidRPr="002024DD">
        <w:rPr>
          <w:rFonts w:eastAsia="Arial Unicode MS"/>
          <w:color w:val="auto"/>
          <w:sz w:val="26"/>
          <w:szCs w:val="26"/>
        </w:rPr>
        <w:t>, а температура инструмента, выполненного из стали 12</w:t>
      </w:r>
      <w:r w:rsidRPr="002024DD">
        <w:rPr>
          <w:rFonts w:eastAsia="Arial Unicode MS"/>
          <w:color w:val="auto"/>
          <w:sz w:val="26"/>
          <w:szCs w:val="26"/>
          <w:vertAlign w:val="superscript"/>
        </w:rPr>
        <w:t>о</w:t>
      </w:r>
      <w:r w:rsidRPr="002024DD">
        <w:rPr>
          <w:rFonts w:eastAsia="Arial Unicode MS"/>
          <w:color w:val="auto"/>
          <w:sz w:val="26"/>
          <w:szCs w:val="26"/>
        </w:rPr>
        <w:t>. Коэффициент линейного расширения стали α = 11,5∙10</w:t>
      </w:r>
      <w:r w:rsidRPr="002024DD">
        <w:rPr>
          <w:rFonts w:eastAsia="Arial Unicode MS"/>
          <w:color w:val="auto"/>
          <w:sz w:val="26"/>
          <w:szCs w:val="26"/>
          <w:vertAlign w:val="superscript"/>
        </w:rPr>
        <w:t>-6</w:t>
      </w:r>
      <w:r w:rsidRPr="002024DD">
        <w:rPr>
          <w:rFonts w:eastAsia="Arial Unicode MS"/>
          <w:color w:val="auto"/>
          <w:sz w:val="26"/>
          <w:szCs w:val="26"/>
        </w:rPr>
        <w:t>.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DE6092" w:rsidRDefault="00DE6092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</w:p>
    <w:p w:rsidR="00DE6092" w:rsidRDefault="00DE6092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</w:p>
    <w:p w:rsidR="00DE6092" w:rsidRDefault="00DE6092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</w:p>
    <w:p w:rsidR="00DE6092" w:rsidRDefault="00DE6092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lastRenderedPageBreak/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 xml:space="preserve">Построить </w:t>
      </w:r>
      <w:proofErr w:type="spellStart"/>
      <w:r w:rsidRPr="002024DD">
        <w:rPr>
          <w:rFonts w:eastAsia="Arial Unicode MS"/>
          <w:color w:val="auto"/>
          <w:sz w:val="26"/>
          <w:szCs w:val="26"/>
        </w:rPr>
        <w:t>тарировочную</w:t>
      </w:r>
      <w:proofErr w:type="spellEnd"/>
      <w:r w:rsidRPr="002024DD">
        <w:rPr>
          <w:rFonts w:eastAsia="Arial Unicode MS"/>
          <w:color w:val="auto"/>
          <w:sz w:val="26"/>
          <w:szCs w:val="26"/>
        </w:rPr>
        <w:t xml:space="preserve">  прямую при следующих исходных данных: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4"/>
        <w:gridCol w:w="874"/>
        <w:gridCol w:w="874"/>
        <w:gridCol w:w="874"/>
      </w:tblGrid>
      <w:tr w:rsidR="002024DD" w:rsidRPr="002024DD" w:rsidTr="009402D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Р, н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-1</w:t>
            </w:r>
          </w:p>
        </w:tc>
      </w:tr>
      <w:tr w:rsidR="002024DD" w:rsidRPr="002024DD" w:rsidTr="009402D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  <w:lang w:val="en-US"/>
              </w:rPr>
              <w:t>L</w:t>
            </w:r>
            <w:r w:rsidRPr="002024DD">
              <w:rPr>
                <w:rFonts w:eastAsia="Arial Unicode MS"/>
                <w:color w:val="auto"/>
                <w:sz w:val="26"/>
                <w:szCs w:val="26"/>
              </w:rPr>
              <w:t>, 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0</w:t>
            </w:r>
          </w:p>
        </w:tc>
      </w:tr>
    </w:tbl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</w:p>
    <w:p w:rsidR="00DE6092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  <w:r w:rsidRPr="002024DD">
        <w:rPr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2024DD">
        <w:rPr>
          <w:color w:val="auto"/>
          <w:sz w:val="26"/>
          <w:szCs w:val="26"/>
        </w:rPr>
        <w:t>Сформировать ремонтный комплект сборочных единиц металлоконструкций автогрейдеров по следующим исходным данным при уровне значимости 0,95: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163"/>
        <w:gridCol w:w="1950"/>
      </w:tblGrid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Узел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Средняя наработка на отказ, тыс. 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  <w:vertAlign w:val="superscript"/>
              </w:rPr>
            </w:pPr>
            <w:r w:rsidRPr="002024DD">
              <w:rPr>
                <w:color w:val="auto"/>
                <w:sz w:val="26"/>
                <w:szCs w:val="26"/>
              </w:rPr>
              <w:t>Оценка дисперсии наработки, тыс.ч</w:t>
            </w:r>
            <w:r w:rsidRPr="002024DD">
              <w:rPr>
                <w:color w:val="auto"/>
                <w:sz w:val="26"/>
                <w:szCs w:val="26"/>
                <w:vertAlign w:val="superscript"/>
              </w:rPr>
              <w:t>2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Подвеска отвала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3,75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0,87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Поворотный круг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4,67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0,76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Тяговая рама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2,36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0,52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Основная рама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2,75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0,64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Ножи отвала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1,10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Отвальная поверхность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4,24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1,35</w:t>
            </w:r>
          </w:p>
        </w:tc>
      </w:tr>
      <w:tr w:rsidR="002024DD" w:rsidRPr="002024DD" w:rsidTr="009402D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Кронштейны гидроцилиндров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3,82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024DD">
              <w:rPr>
                <w:color w:val="auto"/>
                <w:sz w:val="26"/>
                <w:szCs w:val="26"/>
              </w:rPr>
              <w:t>0,93</w:t>
            </w:r>
          </w:p>
        </w:tc>
      </w:tr>
    </w:tbl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  <w:r w:rsidRPr="002024DD">
        <w:rPr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>Определить срок службы изделия, если величина предельного износа равна 1200 мкм: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4"/>
        <w:gridCol w:w="874"/>
        <w:gridCol w:w="874"/>
        <w:gridCol w:w="874"/>
      </w:tblGrid>
      <w:tr w:rsidR="002024DD" w:rsidRPr="002024DD" w:rsidTr="009402D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proofErr w:type="spellStart"/>
            <w:r w:rsidRPr="002024DD">
              <w:rPr>
                <w:rFonts w:eastAsia="Arial Unicode MS"/>
                <w:color w:val="auto"/>
                <w:sz w:val="26"/>
                <w:szCs w:val="26"/>
              </w:rPr>
              <w:t>Времяτ</w:t>
            </w:r>
            <w:proofErr w:type="spellEnd"/>
            <w:r w:rsidRPr="002024DD">
              <w:rPr>
                <w:rFonts w:eastAsia="Arial Unicode MS"/>
                <w:color w:val="auto"/>
                <w:sz w:val="26"/>
                <w:szCs w:val="26"/>
              </w:rPr>
              <w:t>, час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16</w:t>
            </w:r>
          </w:p>
        </w:tc>
      </w:tr>
      <w:tr w:rsidR="002024DD" w:rsidRPr="002024DD" w:rsidTr="009402D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И, мм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DD" w:rsidRPr="002024DD" w:rsidRDefault="002024DD" w:rsidP="002024DD">
            <w:pPr>
              <w:spacing w:after="0"/>
              <w:ind w:left="0" w:right="0" w:firstLine="0"/>
              <w:jc w:val="center"/>
              <w:rPr>
                <w:rFonts w:eastAsia="Arial Unicode MS"/>
                <w:color w:val="auto"/>
                <w:sz w:val="26"/>
                <w:szCs w:val="26"/>
              </w:rPr>
            </w:pPr>
            <w:r w:rsidRPr="002024DD">
              <w:rPr>
                <w:rFonts w:eastAsia="Arial Unicode MS"/>
                <w:color w:val="auto"/>
                <w:sz w:val="26"/>
                <w:szCs w:val="26"/>
              </w:rPr>
              <w:t>29</w:t>
            </w:r>
          </w:p>
        </w:tc>
      </w:tr>
    </w:tbl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b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 xml:space="preserve">Задача 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 xml:space="preserve">Построить матрицу планирования для двухфакторного эксперимента. Пояснить последовательность получения критерия </w:t>
      </w:r>
      <w:proofErr w:type="spellStart"/>
      <w:r w:rsidRPr="002024DD">
        <w:rPr>
          <w:rFonts w:eastAsia="Arial Unicode MS"/>
          <w:color w:val="auto"/>
          <w:sz w:val="26"/>
          <w:szCs w:val="26"/>
        </w:rPr>
        <w:t>Кохрена</w:t>
      </w:r>
      <w:proofErr w:type="spellEnd"/>
      <w:r w:rsidRPr="002024DD">
        <w:rPr>
          <w:rFonts w:eastAsia="Arial Unicode MS"/>
          <w:color w:val="auto"/>
          <w:sz w:val="26"/>
          <w:szCs w:val="26"/>
        </w:rPr>
        <w:t>.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color w:val="auto"/>
          <w:sz w:val="26"/>
          <w:szCs w:val="26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rFonts w:eastAsia="Arial Unicode MS"/>
          <w:b/>
          <w:color w:val="auto"/>
          <w:sz w:val="26"/>
          <w:szCs w:val="26"/>
        </w:rPr>
      </w:pPr>
      <w:r w:rsidRPr="002024DD">
        <w:rPr>
          <w:rFonts w:eastAsia="Arial Unicode MS"/>
          <w:b/>
          <w:color w:val="auto"/>
          <w:sz w:val="26"/>
          <w:szCs w:val="26"/>
        </w:rPr>
        <w:t>Задача.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2024DD">
        <w:rPr>
          <w:rFonts w:eastAsia="Arial Unicode MS"/>
          <w:color w:val="auto"/>
          <w:sz w:val="26"/>
          <w:szCs w:val="26"/>
        </w:rPr>
        <w:t>Определить критерий подобия Кулона.</w:t>
      </w: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2024DD" w:rsidRPr="002024DD" w:rsidRDefault="002024DD" w:rsidP="002024DD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2024DD" w:rsidRDefault="002024DD" w:rsidP="00F551F7">
      <w:pPr>
        <w:spacing w:after="0" w:line="360" w:lineRule="auto"/>
        <w:ind w:left="0" w:right="0"/>
        <w:jc w:val="center"/>
      </w:pPr>
    </w:p>
    <w:sectPr w:rsidR="002024DD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82" w:rsidRDefault="00A57782">
      <w:pPr>
        <w:spacing w:after="0" w:line="240" w:lineRule="auto"/>
      </w:pPr>
      <w:r>
        <w:separator/>
      </w:r>
    </w:p>
  </w:endnote>
  <w:endnote w:type="continuationSeparator" w:id="0">
    <w:p w:rsidR="00A57782" w:rsidRDefault="00A5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7AB0" w:rsidRPr="00727AB0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82" w:rsidRDefault="00A57782">
      <w:pPr>
        <w:spacing w:after="0" w:line="240" w:lineRule="auto"/>
      </w:pPr>
      <w:r>
        <w:separator/>
      </w:r>
    </w:p>
  </w:footnote>
  <w:footnote w:type="continuationSeparator" w:id="0">
    <w:p w:rsidR="00A57782" w:rsidRDefault="00A5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7853C8"/>
    <w:multiLevelType w:val="hybridMultilevel"/>
    <w:tmpl w:val="F3BE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F598B"/>
    <w:multiLevelType w:val="hybridMultilevel"/>
    <w:tmpl w:val="B630E74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>
      <w:start w:val="1"/>
      <w:numFmt w:val="lowerRoman"/>
      <w:lvlText w:val="%3."/>
      <w:lvlJc w:val="right"/>
      <w:pPr>
        <w:ind w:left="2193" w:hanging="180"/>
      </w:pPr>
    </w:lvl>
    <w:lvl w:ilvl="3" w:tplc="0419000F">
      <w:start w:val="1"/>
      <w:numFmt w:val="decimal"/>
      <w:lvlText w:val="%4."/>
      <w:lvlJc w:val="left"/>
      <w:pPr>
        <w:ind w:left="2913" w:hanging="360"/>
      </w:pPr>
    </w:lvl>
    <w:lvl w:ilvl="4" w:tplc="04190019">
      <w:start w:val="1"/>
      <w:numFmt w:val="lowerLetter"/>
      <w:lvlText w:val="%5."/>
      <w:lvlJc w:val="left"/>
      <w:pPr>
        <w:ind w:left="3633" w:hanging="360"/>
      </w:pPr>
    </w:lvl>
    <w:lvl w:ilvl="5" w:tplc="0419001B">
      <w:start w:val="1"/>
      <w:numFmt w:val="lowerRoman"/>
      <w:lvlText w:val="%6."/>
      <w:lvlJc w:val="right"/>
      <w:pPr>
        <w:ind w:left="4353" w:hanging="180"/>
      </w:pPr>
    </w:lvl>
    <w:lvl w:ilvl="6" w:tplc="0419000F">
      <w:start w:val="1"/>
      <w:numFmt w:val="decimal"/>
      <w:lvlText w:val="%7."/>
      <w:lvlJc w:val="left"/>
      <w:pPr>
        <w:ind w:left="5073" w:hanging="360"/>
      </w:pPr>
    </w:lvl>
    <w:lvl w:ilvl="7" w:tplc="04190019">
      <w:start w:val="1"/>
      <w:numFmt w:val="lowerLetter"/>
      <w:lvlText w:val="%8."/>
      <w:lvlJc w:val="left"/>
      <w:pPr>
        <w:ind w:left="5793" w:hanging="360"/>
      </w:pPr>
    </w:lvl>
    <w:lvl w:ilvl="8" w:tplc="0419001B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2024DD"/>
    <w:rsid w:val="00580674"/>
    <w:rsid w:val="00727AB0"/>
    <w:rsid w:val="00735E37"/>
    <w:rsid w:val="00A04EE9"/>
    <w:rsid w:val="00A57782"/>
    <w:rsid w:val="00DE6092"/>
    <w:rsid w:val="00F551F7"/>
    <w:rsid w:val="00F6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59"/>
    <w:rsid w:val="002024D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59"/>
    <w:rsid w:val="002024D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5</cp:revision>
  <dcterms:created xsi:type="dcterms:W3CDTF">2022-02-13T15:59:00Z</dcterms:created>
  <dcterms:modified xsi:type="dcterms:W3CDTF">2023-03-12T09:23:00Z</dcterms:modified>
</cp:coreProperties>
</file>