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FC805" w14:textId="77777777" w:rsidR="00F61C72" w:rsidRPr="00F61C72" w:rsidRDefault="00F61C72" w:rsidP="00F61C72">
      <w:pPr>
        <w:pStyle w:val="a4"/>
        <w:widowControl w:val="0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ind w:left="0" w:firstLine="709"/>
        <w:jc w:val="center"/>
        <w:rPr>
          <w:rFonts w:cs="Times New Roman"/>
          <w:b/>
          <w:bCs/>
          <w:sz w:val="28"/>
          <w:szCs w:val="28"/>
        </w:rPr>
      </w:pPr>
      <w:r w:rsidRPr="00F61C72">
        <w:rPr>
          <w:rFonts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05D922CA" w14:textId="755F13BC" w:rsidR="00F61C72" w:rsidRPr="00F61C72" w:rsidRDefault="00F61C72" w:rsidP="00F61C72">
      <w:pPr>
        <w:pStyle w:val="a4"/>
        <w:widowControl w:val="0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ind w:left="0" w:firstLine="709"/>
        <w:jc w:val="center"/>
        <w:rPr>
          <w:rFonts w:cs="Times New Roman"/>
          <w:b/>
          <w:bCs/>
          <w:sz w:val="28"/>
          <w:szCs w:val="28"/>
        </w:rPr>
      </w:pPr>
      <w:r w:rsidRPr="00F61C72">
        <w:rPr>
          <w:rFonts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14:paraId="5B84FEBE" w14:textId="77777777" w:rsidR="00F61C72" w:rsidRPr="00F61C72" w:rsidRDefault="00F61C72" w:rsidP="00F61C72">
      <w:pPr>
        <w:pStyle w:val="a4"/>
        <w:widowControl w:val="0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ind w:left="0" w:firstLine="709"/>
        <w:jc w:val="center"/>
        <w:rPr>
          <w:rFonts w:cs="Times New Roman"/>
          <w:b/>
          <w:bCs/>
          <w:sz w:val="28"/>
          <w:szCs w:val="28"/>
        </w:rPr>
      </w:pPr>
    </w:p>
    <w:p w14:paraId="3824F8B1" w14:textId="4E4CDA49" w:rsidR="002E27B0" w:rsidRPr="00F61C72" w:rsidRDefault="00F61C72" w:rsidP="00F61C72">
      <w:pPr>
        <w:pStyle w:val="a4"/>
        <w:widowControl w:val="0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ind w:left="0" w:firstLine="709"/>
        <w:jc w:val="center"/>
        <w:rPr>
          <w:rFonts w:cs="Times New Roman"/>
          <w:b/>
          <w:bCs/>
          <w:sz w:val="28"/>
          <w:szCs w:val="28"/>
        </w:rPr>
      </w:pPr>
      <w:r w:rsidRPr="00F61C72">
        <w:rPr>
          <w:rFonts w:cs="Times New Roman"/>
          <w:b/>
          <w:bCs/>
          <w:sz w:val="28"/>
          <w:szCs w:val="28"/>
        </w:rPr>
        <w:t>«</w:t>
      </w:r>
      <w:bookmarkStart w:id="0" w:name="_GoBack"/>
      <w:r w:rsidRPr="00F61C72">
        <w:rPr>
          <w:rFonts w:cs="Times New Roman"/>
          <w:b/>
          <w:bCs/>
          <w:sz w:val="28"/>
          <w:szCs w:val="28"/>
        </w:rPr>
        <w:t>Модели безопасности компьютерных систем</w:t>
      </w:r>
      <w:bookmarkEnd w:id="0"/>
      <w:r w:rsidRPr="00F61C72">
        <w:rPr>
          <w:rFonts w:cs="Times New Roman"/>
          <w:b/>
          <w:bCs/>
          <w:sz w:val="28"/>
          <w:szCs w:val="28"/>
        </w:rPr>
        <w:t>»</w:t>
      </w:r>
    </w:p>
    <w:p w14:paraId="556ED31B" w14:textId="77777777" w:rsidR="00F61C72" w:rsidRPr="00F61C72" w:rsidRDefault="00F61C72" w:rsidP="00F61C72">
      <w:pPr>
        <w:pStyle w:val="a4"/>
        <w:widowControl w:val="0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ind w:left="0" w:firstLine="709"/>
        <w:jc w:val="center"/>
        <w:rPr>
          <w:rFonts w:cs="Times New Roman"/>
          <w:b/>
          <w:bCs/>
          <w:sz w:val="28"/>
          <w:szCs w:val="28"/>
        </w:rPr>
      </w:pPr>
    </w:p>
    <w:p w14:paraId="5D5DB06A" w14:textId="534D1B84" w:rsidR="00F61C72" w:rsidRPr="000277A0" w:rsidRDefault="00F61C72" w:rsidP="00F61C72">
      <w:pPr>
        <w:pStyle w:val="a4"/>
        <w:widowControl w:val="0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ind w:left="0" w:firstLine="709"/>
        <w:jc w:val="center"/>
        <w:rPr>
          <w:rFonts w:cs="Times New Roman"/>
          <w:sz w:val="28"/>
          <w:szCs w:val="28"/>
        </w:rPr>
      </w:pPr>
      <w:r w:rsidRPr="000277A0">
        <w:rPr>
          <w:rFonts w:cs="Times New Roman"/>
          <w:sz w:val="28"/>
          <w:szCs w:val="28"/>
        </w:rPr>
        <w:t>Примерный перечень вопрос для экзамена</w:t>
      </w:r>
    </w:p>
    <w:p w14:paraId="0597D9FA" w14:textId="77777777" w:rsidR="00F61C72" w:rsidRPr="00F61C72" w:rsidRDefault="00F61C72" w:rsidP="00F61C72">
      <w:pPr>
        <w:pStyle w:val="a4"/>
        <w:widowControl w:val="0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ind w:left="0" w:firstLine="709"/>
        <w:jc w:val="center"/>
        <w:rPr>
          <w:rFonts w:eastAsia="Arial" w:cs="Times New Roman"/>
          <w:sz w:val="28"/>
          <w:szCs w:val="28"/>
        </w:rPr>
      </w:pPr>
    </w:p>
    <w:p w14:paraId="361A89E9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Модель матрицы доступов Харрисона-</w:t>
      </w:r>
      <w:proofErr w:type="spellStart"/>
      <w:r w:rsidRPr="000277A0">
        <w:rPr>
          <w:sz w:val="28"/>
          <w:szCs w:val="28"/>
        </w:rPr>
        <w:t>Руззо</w:t>
      </w:r>
      <w:proofErr w:type="spellEnd"/>
      <w:r w:rsidRPr="000277A0">
        <w:rPr>
          <w:sz w:val="28"/>
          <w:szCs w:val="28"/>
        </w:rPr>
        <w:t>-Ульмана (ХРУ).</w:t>
      </w:r>
    </w:p>
    <w:p w14:paraId="3329757B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Модель типизированной матрицы доступов (ТМД). </w:t>
      </w:r>
    </w:p>
    <w:p w14:paraId="588CAE3F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Классическая модель распространения прав доступа </w:t>
      </w:r>
      <w:proofErr w:type="spellStart"/>
      <w:r w:rsidRPr="000277A0">
        <w:rPr>
          <w:sz w:val="28"/>
          <w:szCs w:val="28"/>
        </w:rPr>
        <w:t>Take-Grant</w:t>
      </w:r>
      <w:proofErr w:type="spellEnd"/>
      <w:r w:rsidRPr="000277A0">
        <w:rPr>
          <w:sz w:val="28"/>
          <w:szCs w:val="28"/>
        </w:rPr>
        <w:t xml:space="preserve">. Расширенная модель </w:t>
      </w:r>
      <w:proofErr w:type="spellStart"/>
      <w:r w:rsidRPr="000277A0">
        <w:rPr>
          <w:sz w:val="28"/>
          <w:szCs w:val="28"/>
        </w:rPr>
        <w:t>Take-Grant</w:t>
      </w:r>
      <w:proofErr w:type="spellEnd"/>
      <w:r w:rsidRPr="000277A0">
        <w:rPr>
          <w:sz w:val="28"/>
          <w:szCs w:val="28"/>
        </w:rPr>
        <w:t xml:space="preserve">. </w:t>
      </w:r>
    </w:p>
    <w:p w14:paraId="28059A6E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Алгоритм построения замыкания графа доступов и информационных потоков.</w:t>
      </w:r>
    </w:p>
    <w:p w14:paraId="7A0224E1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Классическая модель Белла-Ла </w:t>
      </w:r>
      <w:proofErr w:type="spellStart"/>
      <w:r w:rsidRPr="000277A0">
        <w:rPr>
          <w:sz w:val="28"/>
          <w:szCs w:val="28"/>
        </w:rPr>
        <w:t>Падулы</w:t>
      </w:r>
      <w:proofErr w:type="spellEnd"/>
      <w:r w:rsidRPr="000277A0">
        <w:rPr>
          <w:sz w:val="28"/>
          <w:szCs w:val="28"/>
        </w:rPr>
        <w:t xml:space="preserve">. </w:t>
      </w:r>
    </w:p>
    <w:p w14:paraId="3F4DD169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Модель мандатной политики целостности информации </w:t>
      </w:r>
      <w:proofErr w:type="spellStart"/>
      <w:r w:rsidRPr="000277A0">
        <w:rPr>
          <w:sz w:val="28"/>
          <w:szCs w:val="28"/>
        </w:rPr>
        <w:t>Биба</w:t>
      </w:r>
      <w:proofErr w:type="spellEnd"/>
      <w:r w:rsidRPr="000277A0">
        <w:rPr>
          <w:sz w:val="28"/>
          <w:szCs w:val="28"/>
        </w:rPr>
        <w:t xml:space="preserve">. </w:t>
      </w:r>
    </w:p>
    <w:p w14:paraId="276784C9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Интерпретации модели Белла-Ла </w:t>
      </w:r>
      <w:proofErr w:type="spellStart"/>
      <w:r w:rsidRPr="000277A0">
        <w:rPr>
          <w:sz w:val="28"/>
          <w:szCs w:val="28"/>
        </w:rPr>
        <w:t>Падулы</w:t>
      </w:r>
      <w:proofErr w:type="spellEnd"/>
      <w:r w:rsidRPr="000277A0">
        <w:rPr>
          <w:sz w:val="28"/>
          <w:szCs w:val="28"/>
        </w:rPr>
        <w:t xml:space="preserve">. </w:t>
      </w:r>
    </w:p>
    <w:p w14:paraId="495DCC1D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Модель систем военных сообщений.</w:t>
      </w:r>
    </w:p>
    <w:p w14:paraId="2E6C5E1C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Автоматная, программная и вероятностная модели безопасности информационных потоков. </w:t>
      </w:r>
    </w:p>
    <w:p w14:paraId="0E632F64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Субъективно-ориентированная модель изолированной программной среды (ИПС). </w:t>
      </w:r>
    </w:p>
    <w:p w14:paraId="0E1DD34B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Базовая теорема ИПС.</w:t>
      </w:r>
    </w:p>
    <w:p w14:paraId="293F8E0F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Взаимосвязь положений классических формальных моделей безопасности КС. </w:t>
      </w:r>
    </w:p>
    <w:p w14:paraId="06399691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Проблема адекватности реализации модели безопасности в реальной КС. </w:t>
      </w:r>
    </w:p>
    <w:p w14:paraId="6A51E63B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Семейство моделей безопасности логического управления доступом и информационными потоками (ДП-моделей). </w:t>
      </w:r>
    </w:p>
    <w:p w14:paraId="62FA500E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Ценность информации.</w:t>
      </w:r>
    </w:p>
    <w:p w14:paraId="37DE1522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Аддитивная модель.</w:t>
      </w:r>
    </w:p>
    <w:p w14:paraId="5DDD9058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lastRenderedPageBreak/>
        <w:t>Порядковая шкала.</w:t>
      </w:r>
    </w:p>
    <w:p w14:paraId="17F75564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Решетка ценности.</w:t>
      </w:r>
    </w:p>
    <w:p w14:paraId="06939381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Анализ угроз информационной безопасности.</w:t>
      </w:r>
    </w:p>
    <w:p w14:paraId="668E7BDA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Угрозы конфиденциальности, целостности, доступности</w:t>
      </w:r>
    </w:p>
    <w:p w14:paraId="033238AF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информации, раскрытия параметров информационной системы.</w:t>
      </w:r>
    </w:p>
    <w:p w14:paraId="38B546ED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Основные уровни защиты информации.</w:t>
      </w:r>
    </w:p>
    <w:p w14:paraId="1D6EB22B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Основные виды атак на АС.</w:t>
      </w:r>
    </w:p>
    <w:p w14:paraId="3AB5CB5A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Классификация основных атак на АС и вредоносных программ</w:t>
      </w:r>
    </w:p>
    <w:p w14:paraId="6B470A38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Организационно-режимные меры защиты.</w:t>
      </w:r>
    </w:p>
    <w:p w14:paraId="1F5FEDF9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Защита от НСД.</w:t>
      </w:r>
    </w:p>
    <w:p w14:paraId="3E392507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Построение парольных систем.</w:t>
      </w:r>
    </w:p>
    <w:p w14:paraId="314E4088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Криптографические методы защиты.</w:t>
      </w:r>
    </w:p>
    <w:p w14:paraId="220E63B8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Защита от угрозы нарушения конфиденциальности на уровне</w:t>
      </w:r>
    </w:p>
    <w:p w14:paraId="1D145A2B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содержания информации.</w:t>
      </w:r>
    </w:p>
    <w:p w14:paraId="30D3F2AC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Построение системы защиты от угрозы нарушения целостности информации. </w:t>
      </w:r>
    </w:p>
    <w:p w14:paraId="4E117C29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Защита целостности программно-аппаратной среды.</w:t>
      </w:r>
    </w:p>
    <w:p w14:paraId="0FD51C45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Основные методы защиты памяти.</w:t>
      </w:r>
    </w:p>
    <w:p w14:paraId="7DAA41B4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Цифровая подпись.</w:t>
      </w:r>
    </w:p>
    <w:p w14:paraId="07A790E7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Защита от угрозы целостности на уровне содержания информации.</w:t>
      </w:r>
    </w:p>
    <w:p w14:paraId="426EA0CB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Построение системы защиты от угрозы раскрытия параметров информационной системы. </w:t>
      </w:r>
    </w:p>
    <w:p w14:paraId="291B7266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Особенности деятельности разведывательных органов, их сочетание при добывании информации.   </w:t>
      </w:r>
    </w:p>
    <w:p w14:paraId="1D00870D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Основы, обеспечивающие технологию защиты информации: </w:t>
      </w:r>
    </w:p>
    <w:p w14:paraId="3849C8F4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организационные основы и методологические принципы защиты информации;</w:t>
      </w:r>
    </w:p>
    <w:p w14:paraId="01AEFA35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организационные основы как необходимые условия для осуществления защиты информации. </w:t>
      </w:r>
    </w:p>
    <w:p w14:paraId="30C17442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Базовая модель ролевого управления доступом. </w:t>
      </w:r>
    </w:p>
    <w:p w14:paraId="0895D9E1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lastRenderedPageBreak/>
        <w:t xml:space="preserve">Модель административного ролевого управления доступом. </w:t>
      </w:r>
    </w:p>
    <w:p w14:paraId="77D4454E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Субъектно-ориентированная модель изолированной программной среды. </w:t>
      </w:r>
    </w:p>
    <w:p w14:paraId="2573C6DC" w14:textId="77777777" w:rsidR="00F61C72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 xml:space="preserve">Безопасность информационных потоков. </w:t>
      </w:r>
    </w:p>
    <w:p w14:paraId="1FB398BA" w14:textId="5B4117C8" w:rsidR="002E27B0" w:rsidRPr="000277A0" w:rsidRDefault="00F61C72" w:rsidP="000277A0">
      <w:pPr>
        <w:pStyle w:val="a4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77A0">
        <w:rPr>
          <w:sz w:val="28"/>
          <w:szCs w:val="28"/>
        </w:rPr>
        <w:t>Организационно-технологические меры защиты.</w:t>
      </w:r>
    </w:p>
    <w:sectPr w:rsidR="002E27B0" w:rsidRPr="000277A0" w:rsidSect="00F61C72">
      <w:headerReference w:type="default" r:id="rId7"/>
      <w:footerReference w:type="default" r:id="rId8"/>
      <w:pgSz w:w="11906" w:h="16838"/>
      <w:pgMar w:top="1134" w:right="850" w:bottom="1134" w:left="1701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65C05" w14:textId="77777777" w:rsidR="00C127B2" w:rsidRDefault="00C127B2">
      <w:r>
        <w:separator/>
      </w:r>
    </w:p>
  </w:endnote>
  <w:endnote w:type="continuationSeparator" w:id="0">
    <w:p w14:paraId="07BE707C" w14:textId="77777777" w:rsidR="00C127B2" w:rsidRDefault="00C1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51F66" w14:textId="77777777" w:rsidR="002E27B0" w:rsidRDefault="002E27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9C2E9" w14:textId="77777777" w:rsidR="00C127B2" w:rsidRDefault="00C127B2">
      <w:r>
        <w:separator/>
      </w:r>
    </w:p>
  </w:footnote>
  <w:footnote w:type="continuationSeparator" w:id="0">
    <w:p w14:paraId="30F564D9" w14:textId="77777777" w:rsidR="00C127B2" w:rsidRDefault="00C1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F1F2" w14:textId="77777777" w:rsidR="002E27B0" w:rsidRDefault="002E27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0600D"/>
    <w:multiLevelType w:val="hybridMultilevel"/>
    <w:tmpl w:val="35102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F442D"/>
    <w:multiLevelType w:val="hybridMultilevel"/>
    <w:tmpl w:val="4C167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969B1"/>
    <w:multiLevelType w:val="hybridMultilevel"/>
    <w:tmpl w:val="108A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87563"/>
    <w:multiLevelType w:val="hybridMultilevel"/>
    <w:tmpl w:val="62BE6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B0"/>
    <w:rsid w:val="000277A0"/>
    <w:rsid w:val="002E27B0"/>
    <w:rsid w:val="00C127B2"/>
    <w:rsid w:val="00F6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6E46"/>
  <w15:docId w15:val="{ED4FF874-2E18-4455-B5F2-ADEBD595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2">
    <w:name w:val="Стиль таблицы 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Ермакова Александра Евгеньевна</cp:lastModifiedBy>
  <cp:revision>3</cp:revision>
  <dcterms:created xsi:type="dcterms:W3CDTF">2026-02-13T15:52:00Z</dcterms:created>
  <dcterms:modified xsi:type="dcterms:W3CDTF">2026-02-13T16:11:00Z</dcterms:modified>
</cp:coreProperties>
</file>