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394E4B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394E4B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5904DA30" w:rsidR="00994212" w:rsidRDefault="00394E4B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4401A4" w:rsidRPr="004401A4">
        <w:rPr>
          <w:b/>
        </w:rPr>
        <w:t>Особенности аккредитации объектов транспорта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394E4B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394E4B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394E4B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143D897B" w14:textId="77777777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Раскрыть понятие аккредитация.</w:t>
      </w:r>
    </w:p>
    <w:p w14:paraId="17CFE1C4" w14:textId="03CC001D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Раскрыть понятие область аккредитации.</w:t>
      </w:r>
    </w:p>
    <w:p w14:paraId="1D14EAE1" w14:textId="0E8899C8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Приведите основные цели и задачи аккредитации.</w:t>
      </w:r>
    </w:p>
    <w:p w14:paraId="468388F0" w14:textId="2C7DB343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Приведите основные принципы аккредитации объектов.</w:t>
      </w:r>
    </w:p>
    <w:p w14:paraId="1168E022" w14:textId="77F5D074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История становления Российской системы аккредитации (РОСА).</w:t>
      </w:r>
    </w:p>
    <w:p w14:paraId="7F6B284D" w14:textId="579A2672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Участники национальной системы аккредитации.</w:t>
      </w:r>
    </w:p>
    <w:p w14:paraId="4CF61BC4" w14:textId="26ED8A94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Полномочия федерального органа исполнительной власти, осуществляющего функции по выработке государственной политики и нормативно-правовому регулированию в области аккредитации. </w:t>
      </w:r>
    </w:p>
    <w:p w14:paraId="1894098B" w14:textId="51BF3CCB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Полномочия национального органа по аккредитации.</w:t>
      </w:r>
    </w:p>
    <w:p w14:paraId="023EDD16" w14:textId="348A2702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Полномочия общественного совета по аккредитации.</w:t>
      </w:r>
    </w:p>
    <w:p w14:paraId="40B44253" w14:textId="005DFD38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Полномочия комиссии по апелляциям.</w:t>
      </w:r>
    </w:p>
    <w:p w14:paraId="5E613FDF" w14:textId="631C7796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Аттестация экспертов по аккредитации, технических экспертов.</w:t>
      </w:r>
    </w:p>
    <w:p w14:paraId="53DC370F" w14:textId="468B490C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Права и обязанности аккредитованных лиц.</w:t>
      </w:r>
    </w:p>
    <w:p w14:paraId="42392D9D" w14:textId="7621FE59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Права и обязанности экспертных организаций.</w:t>
      </w:r>
    </w:p>
    <w:p w14:paraId="26CDEC05" w14:textId="2FF486D2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Серия стандартов EN 45000.</w:t>
      </w:r>
    </w:p>
    <w:p w14:paraId="44E45595" w14:textId="2D08C757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Перечислите основные международные организации в области аккредитации.</w:t>
      </w:r>
    </w:p>
    <w:p w14:paraId="06B3FFD6" w14:textId="1577761B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lastRenderedPageBreak/>
        <w:t xml:space="preserve">Структура международной конференции по аккредитации лабораторий (ИЛАК). </w:t>
      </w:r>
    </w:p>
    <w:p w14:paraId="426A6BE4" w14:textId="286710B4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Функции международной конференции по аккредитации лабораторий (ИЛАК).</w:t>
      </w:r>
    </w:p>
    <w:p w14:paraId="07B9D7AF" w14:textId="2E8A72A5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Правила подписания соглашения о взаимном признании (MRA) </w:t>
      </w:r>
    </w:p>
    <w:p w14:paraId="680D3F35" w14:textId="44D63A8C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Требования к персоналу органа по сертификации.</w:t>
      </w:r>
    </w:p>
    <w:p w14:paraId="5F3EC70B" w14:textId="223EFA7F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Требования к процессу аккредитации органа по сертификации.</w:t>
      </w:r>
    </w:p>
    <w:p w14:paraId="0666D554" w14:textId="3F8CD947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Требования к системе менеджмента органа по сертификации.</w:t>
      </w:r>
    </w:p>
    <w:p w14:paraId="48C43E2B" w14:textId="37F55AA7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Оценка требований к менеджменту испытательной лаборатории.</w:t>
      </w:r>
    </w:p>
    <w:p w14:paraId="2B91C912" w14:textId="7ADE46C9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Оценка требований к персоналу, помещению и условиям окружающей среды. </w:t>
      </w:r>
    </w:p>
    <w:p w14:paraId="12DB7C07" w14:textId="3BF1BD8B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Особенности процедуры аккредитации испытательных лабораторий. </w:t>
      </w:r>
    </w:p>
    <w:p w14:paraId="0931CCC6" w14:textId="4AC5633D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Требования к системе менеджмента органа по сертификации. </w:t>
      </w:r>
    </w:p>
    <w:p w14:paraId="56896C32" w14:textId="0EF53E42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Обеспечение качества результатов испытаний и калибровки.</w:t>
      </w:r>
    </w:p>
    <w:p w14:paraId="687A4B9E" w14:textId="02AA6B6D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Критерии независимости экспертной организации.</w:t>
      </w:r>
    </w:p>
    <w:p w14:paraId="36B3DE84" w14:textId="4A5B69E9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Требования к структуре, персоналу и оборудованию </w:t>
      </w:r>
      <w:r>
        <w:t>э</w:t>
      </w:r>
      <w:r w:rsidRPr="004401A4">
        <w:t>кспертной организации.</w:t>
      </w:r>
    </w:p>
    <w:p w14:paraId="2D6C39EF" w14:textId="7B179A41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Методы </w:t>
      </w:r>
      <w:r>
        <w:t>э</w:t>
      </w:r>
      <w:r w:rsidRPr="004401A4">
        <w:t xml:space="preserve">кспертизы и процедуры. </w:t>
      </w:r>
    </w:p>
    <w:p w14:paraId="2BF74058" w14:textId="682F3623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Документация, отчеты и заключения экспертизы. </w:t>
      </w:r>
    </w:p>
    <w:p w14:paraId="7467263E" w14:textId="017CF27A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Состав и содержание работ по аккредитации.</w:t>
      </w:r>
    </w:p>
    <w:p w14:paraId="34331E7F" w14:textId="47D52691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>
        <w:t>П</w:t>
      </w:r>
      <w:r w:rsidRPr="004401A4">
        <w:t>орядок оценки соответствия заявителя критериям аккредитации.</w:t>
      </w:r>
    </w:p>
    <w:p w14:paraId="2825BF49" w14:textId="53085E07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>Процедура аккредитации в Национальном органе.</w:t>
      </w:r>
    </w:p>
    <w:p w14:paraId="4B28227E" w14:textId="2D185C5A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Инспекционный контроль за аккредитованными организациями. </w:t>
      </w:r>
    </w:p>
    <w:p w14:paraId="5DC026D8" w14:textId="047FFD77" w:rsidR="004401A4" w:rsidRPr="004401A4" w:rsidRDefault="004401A4" w:rsidP="004401A4">
      <w:pPr>
        <w:pStyle w:val="a4"/>
        <w:numPr>
          <w:ilvl w:val="0"/>
          <w:numId w:val="18"/>
        </w:numPr>
        <w:spacing w:line="360" w:lineRule="auto"/>
      </w:pPr>
      <w:r w:rsidRPr="004401A4">
        <w:t xml:space="preserve">Понятие </w:t>
      </w:r>
      <w:proofErr w:type="spellStart"/>
      <w:r w:rsidRPr="004401A4">
        <w:t>доаккредитация</w:t>
      </w:r>
      <w:proofErr w:type="spellEnd"/>
      <w:r w:rsidRPr="004401A4">
        <w:t xml:space="preserve">. </w:t>
      </w:r>
    </w:p>
    <w:p w14:paraId="64A4F6BD" w14:textId="0D112C55" w:rsidR="00C34806" w:rsidRPr="00C34806" w:rsidRDefault="00C34806" w:rsidP="003403D0">
      <w:pPr>
        <w:pStyle w:val="a4"/>
        <w:spacing w:line="360" w:lineRule="auto"/>
        <w:ind w:firstLine="0"/>
      </w:pPr>
    </w:p>
    <w:sectPr w:rsidR="00C34806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32C9" w14:textId="77777777" w:rsidR="00394E4B" w:rsidRDefault="00394E4B">
      <w:pPr>
        <w:spacing w:after="0" w:line="240" w:lineRule="auto"/>
      </w:pPr>
      <w:r>
        <w:separator/>
      </w:r>
    </w:p>
  </w:endnote>
  <w:endnote w:type="continuationSeparator" w:id="0">
    <w:p w14:paraId="46BEB49C" w14:textId="77777777" w:rsidR="00394E4B" w:rsidRDefault="0039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394E4B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394E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394E4B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394E4B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5C72" w14:textId="77777777" w:rsidR="00394E4B" w:rsidRDefault="00394E4B">
      <w:pPr>
        <w:spacing w:after="0" w:line="240" w:lineRule="auto"/>
      </w:pPr>
      <w:r>
        <w:separator/>
      </w:r>
    </w:p>
  </w:footnote>
  <w:footnote w:type="continuationSeparator" w:id="0">
    <w:p w14:paraId="2F676FAC" w14:textId="77777777" w:rsidR="00394E4B" w:rsidRDefault="0039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942650"/>
    <w:multiLevelType w:val="hybridMultilevel"/>
    <w:tmpl w:val="20C8E0F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16"/>
  </w:num>
  <w:num w:numId="2" w16cid:durableId="1441413906">
    <w:abstractNumId w:val="11"/>
  </w:num>
  <w:num w:numId="3" w16cid:durableId="2065792994">
    <w:abstractNumId w:val="12"/>
  </w:num>
  <w:num w:numId="4" w16cid:durableId="1659729182">
    <w:abstractNumId w:val="7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9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10"/>
  </w:num>
  <w:num w:numId="11" w16cid:durableId="672997965">
    <w:abstractNumId w:val="0"/>
  </w:num>
  <w:num w:numId="12" w16cid:durableId="1841584258">
    <w:abstractNumId w:val="5"/>
  </w:num>
  <w:num w:numId="13" w16cid:durableId="1747921880">
    <w:abstractNumId w:val="6"/>
  </w:num>
  <w:num w:numId="14" w16cid:durableId="416944962">
    <w:abstractNumId w:val="14"/>
  </w:num>
  <w:num w:numId="15" w16cid:durableId="1674183692">
    <w:abstractNumId w:val="13"/>
  </w:num>
  <w:num w:numId="16" w16cid:durableId="879516027">
    <w:abstractNumId w:val="15"/>
  </w:num>
  <w:num w:numId="17" w16cid:durableId="1017732468">
    <w:abstractNumId w:val="17"/>
  </w:num>
  <w:num w:numId="18" w16cid:durableId="1025983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C1AD7"/>
    <w:rsid w:val="002B62F0"/>
    <w:rsid w:val="003403D0"/>
    <w:rsid w:val="00356468"/>
    <w:rsid w:val="00394E4B"/>
    <w:rsid w:val="003B72BB"/>
    <w:rsid w:val="003E0DAB"/>
    <w:rsid w:val="003E7056"/>
    <w:rsid w:val="004401A4"/>
    <w:rsid w:val="00586DEE"/>
    <w:rsid w:val="006453F2"/>
    <w:rsid w:val="0072072A"/>
    <w:rsid w:val="00867F41"/>
    <w:rsid w:val="00994212"/>
    <w:rsid w:val="00B62F2E"/>
    <w:rsid w:val="00C01108"/>
    <w:rsid w:val="00C34806"/>
    <w:rsid w:val="00D152C5"/>
    <w:rsid w:val="00D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2022-05-17T09:08:00Z</dcterms:created>
  <dcterms:modified xsi:type="dcterms:W3CDTF">2022-05-17T09:08:00Z</dcterms:modified>
</cp:coreProperties>
</file>