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CD7B" w14:textId="26034C45" w:rsidR="00AC10AF" w:rsidRPr="00AC10AF" w:rsidRDefault="00AC10AF" w:rsidP="00B243F6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 xml:space="preserve">Примерные оценочные материалы, применяемые </w:t>
      </w:r>
      <w:r w:rsidR="00B243F6" w:rsidRPr="00857209">
        <w:rPr>
          <w:b/>
        </w:rPr>
        <w:t>при проведении промежуточной аттестации</w:t>
      </w:r>
      <w:r w:rsidRPr="00AC10AF">
        <w:rPr>
          <w:rFonts w:eastAsia="Calibri" w:cs="Times New Roman"/>
          <w:b/>
          <w:szCs w:val="28"/>
        </w:rPr>
        <w:t xml:space="preserve"> по дисциплине (модулю)</w:t>
      </w:r>
      <w:r w:rsidRPr="00AC10AF">
        <w:rPr>
          <w:rFonts w:eastAsia="Calibri" w:cs="Times New Roman"/>
          <w:b/>
          <w:szCs w:val="28"/>
        </w:rPr>
        <w:br/>
      </w:r>
    </w:p>
    <w:p w14:paraId="7560CE8F" w14:textId="66A2F0BD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b/>
          <w:szCs w:val="28"/>
        </w:rPr>
      </w:pPr>
      <w:r w:rsidRPr="00AC10AF">
        <w:rPr>
          <w:rFonts w:eastAsia="Calibri" w:cs="Times New Roman"/>
          <w:b/>
          <w:szCs w:val="28"/>
        </w:rPr>
        <w:t>«</w:t>
      </w:r>
      <w:r w:rsidR="004F66F8" w:rsidRPr="001B687E">
        <w:rPr>
          <w:rFonts w:eastAsia="Calibri" w:cs="Times New Roman"/>
          <w:b/>
          <w:sz w:val="24"/>
          <w:szCs w:val="24"/>
        </w:rPr>
        <w:t>Отчётность по устойчивому развитию</w:t>
      </w:r>
      <w:r w:rsidRPr="00AC10AF">
        <w:rPr>
          <w:rFonts w:eastAsia="Calibri" w:cs="Times New Roman"/>
          <w:b/>
          <w:szCs w:val="28"/>
        </w:rPr>
        <w:t>»</w:t>
      </w:r>
    </w:p>
    <w:p w14:paraId="1DE12CDA" w14:textId="77777777" w:rsidR="00AC10AF" w:rsidRPr="00AC10AF" w:rsidRDefault="00AC10AF" w:rsidP="00AC10AF">
      <w:pPr>
        <w:spacing w:line="276" w:lineRule="auto"/>
        <w:contextualSpacing/>
        <w:jc w:val="center"/>
        <w:rPr>
          <w:rFonts w:eastAsia="Calibri" w:cs="Times New Roman"/>
          <w:szCs w:val="28"/>
        </w:rPr>
      </w:pPr>
    </w:p>
    <w:p w14:paraId="68E22336" w14:textId="4CCC301E" w:rsidR="001B687E" w:rsidRDefault="001B687E" w:rsidP="001B687E">
      <w:pPr>
        <w:spacing w:before="100" w:beforeAutospacing="1" w:after="100" w:afterAutospacing="1" w:line="276" w:lineRule="auto"/>
        <w:jc w:val="center"/>
        <w:rPr>
          <w:bCs/>
          <w:caps/>
          <w:noProof/>
          <w:szCs w:val="28"/>
        </w:rPr>
      </w:pPr>
      <w:r>
        <w:rPr>
          <w:szCs w:val="28"/>
        </w:rPr>
        <w:t xml:space="preserve">При проведении </w:t>
      </w:r>
      <w:r w:rsidRPr="00FA46E1">
        <w:rPr>
          <w:szCs w:val="28"/>
        </w:rPr>
        <w:t>промежуточной аттестации по дисциплине (модулю)</w:t>
      </w:r>
      <w:r>
        <w:rPr>
          <w:szCs w:val="28"/>
        </w:rPr>
        <w:t xml:space="preserve"> обучающемус</w:t>
      </w:r>
      <w:bookmarkStart w:id="0" w:name="_GoBack"/>
      <w:bookmarkEnd w:id="0"/>
      <w:r>
        <w:rPr>
          <w:szCs w:val="28"/>
        </w:rPr>
        <w:t xml:space="preserve">я предлагается дать ответы на </w:t>
      </w:r>
      <w:r w:rsidRPr="005C339F">
        <w:rPr>
          <w:szCs w:val="28"/>
        </w:rPr>
        <w:t>3</w:t>
      </w:r>
      <w:r>
        <w:rPr>
          <w:szCs w:val="28"/>
        </w:rPr>
        <w:t xml:space="preserve"> вопроса из нижеприведенного списка.</w:t>
      </w:r>
    </w:p>
    <w:p w14:paraId="6282660F" w14:textId="0C77BEDF" w:rsidR="00AC10AF" w:rsidRPr="00AC10AF" w:rsidRDefault="00AC10AF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</w:p>
    <w:p w14:paraId="3F923680" w14:textId="77777777" w:rsidR="00AC10AF" w:rsidRPr="00AC10AF" w:rsidRDefault="00AC10AF" w:rsidP="00AC10AF">
      <w:pPr>
        <w:spacing w:line="276" w:lineRule="auto"/>
        <w:ind w:firstLine="0"/>
        <w:contextualSpacing/>
        <w:jc w:val="both"/>
        <w:rPr>
          <w:rFonts w:eastAsia="Calibri" w:cs="Times New Roman"/>
          <w:szCs w:val="28"/>
        </w:rPr>
      </w:pPr>
    </w:p>
    <w:p w14:paraId="3D743A21" w14:textId="77777777" w:rsidR="00AC10AF" w:rsidRDefault="00AC10AF" w:rsidP="003F2ACD">
      <w:pPr>
        <w:spacing w:line="240" w:lineRule="auto"/>
        <w:jc w:val="both"/>
        <w:rPr>
          <w:rFonts w:cs="Times New Roman"/>
          <w:b/>
          <w:bCs/>
          <w:szCs w:val="28"/>
        </w:rPr>
      </w:pPr>
    </w:p>
    <w:p w14:paraId="6D2EC166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 xml:space="preserve">Какие принципы GRI </w:t>
      </w:r>
      <w:proofErr w:type="spellStart"/>
      <w:r w:rsidRPr="001B687E">
        <w:rPr>
          <w:rFonts w:eastAsia="Times New Roman" w:cs="Times New Roman"/>
        </w:rPr>
        <w:t>Standards</w:t>
      </w:r>
      <w:proofErr w:type="spellEnd"/>
      <w:r w:rsidRPr="001B687E">
        <w:rPr>
          <w:rFonts w:eastAsia="Times New Roman" w:cs="Times New Roman"/>
        </w:rPr>
        <w:t xml:space="preserve"> 2021 важны для сбалансированности отчётности?</w:t>
      </w:r>
    </w:p>
    <w:p w14:paraId="35BE6429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В чем разница между GRI и SASB по методам выбора KPI?</w:t>
      </w:r>
    </w:p>
    <w:p w14:paraId="64154758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 определить границы отчета для транспортной компании (например, РЖД)?</w:t>
      </w:r>
    </w:p>
    <w:p w14:paraId="1F5EDBA1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этапы включают внешнее подтверждение данных по GRI?</w:t>
      </w:r>
    </w:p>
    <w:p w14:paraId="151C6F1B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критерии используются для оценки существенных тем в отчетности?</w:t>
      </w:r>
    </w:p>
    <w:p w14:paraId="7EDF1A73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 интегрировать показатели ISO 26000 в социальный раздел отчёта?</w:t>
      </w:r>
    </w:p>
    <w:p w14:paraId="50069E18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данные должны быть в разделе «Климатические риски» по TCFD?</w:t>
      </w:r>
    </w:p>
    <w:p w14:paraId="28EBE359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 оценить соответствие отчета принципам ясности и надежности GRI?</w:t>
      </w:r>
    </w:p>
    <w:p w14:paraId="7C7DA4FF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законодательные акты РФ важны для раскрытия данных о труде и безопасности?</w:t>
      </w:r>
    </w:p>
    <w:p w14:paraId="7B2FB867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 xml:space="preserve">Какие методы анализа данных применяются для оценки </w:t>
      </w:r>
      <w:proofErr w:type="spellStart"/>
      <w:r w:rsidRPr="001B687E">
        <w:rPr>
          <w:rFonts w:eastAsia="Times New Roman" w:cs="Times New Roman"/>
        </w:rPr>
        <w:t>декаплинга</w:t>
      </w:r>
      <w:proofErr w:type="spellEnd"/>
      <w:r w:rsidRPr="001B687E">
        <w:rPr>
          <w:rFonts w:eastAsia="Times New Roman" w:cs="Times New Roman"/>
        </w:rPr>
        <w:t xml:space="preserve"> (разделения экономического роста и потребления ресурсов)?</w:t>
      </w:r>
    </w:p>
    <w:p w14:paraId="70C24BAA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этапы включают формирование контекстной информации в отчете?</w:t>
      </w:r>
    </w:p>
    <w:p w14:paraId="68DDA986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 связать KPI по цепочкам поставок с принципами GRI и TCFD?</w:t>
      </w:r>
    </w:p>
    <w:p w14:paraId="1ABD61C2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инструменты помогают собирать обратную связь заинтересованных сторон?</w:t>
      </w:r>
    </w:p>
    <w:p w14:paraId="6E5C0E6A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разделы отчета важны для повышения ESG-рейтинга по методологии MSCI?</w:t>
      </w:r>
    </w:p>
    <w:p w14:paraId="5CA1E886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 оформить таблицу существенности (</w:t>
      </w:r>
      <w:proofErr w:type="spellStart"/>
      <w:r w:rsidRPr="001B687E">
        <w:rPr>
          <w:rFonts w:eastAsia="Times New Roman" w:cs="Times New Roman"/>
        </w:rPr>
        <w:t>Materiality</w:t>
      </w:r>
      <w:proofErr w:type="spellEnd"/>
      <w:r w:rsidRPr="001B687E">
        <w:rPr>
          <w:rFonts w:eastAsia="Times New Roman" w:cs="Times New Roman"/>
        </w:rPr>
        <w:t xml:space="preserve"> </w:t>
      </w:r>
      <w:proofErr w:type="spellStart"/>
      <w:r w:rsidRPr="001B687E">
        <w:rPr>
          <w:rFonts w:eastAsia="Times New Roman" w:cs="Times New Roman"/>
        </w:rPr>
        <w:t>Matrix</w:t>
      </w:r>
      <w:proofErr w:type="spellEnd"/>
      <w:r w:rsidRPr="001B687E">
        <w:rPr>
          <w:rFonts w:eastAsia="Times New Roman" w:cs="Times New Roman"/>
        </w:rPr>
        <w:t>) для нефтедобывающей компании?</w:t>
      </w:r>
    </w:p>
    <w:p w14:paraId="4A624BCC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 xml:space="preserve">Какие требования к временной актуальности данных указаны в GRI </w:t>
      </w:r>
      <w:proofErr w:type="spellStart"/>
      <w:r w:rsidRPr="001B687E">
        <w:rPr>
          <w:rFonts w:eastAsia="Times New Roman" w:cs="Times New Roman"/>
        </w:rPr>
        <w:t>Standards</w:t>
      </w:r>
      <w:proofErr w:type="spellEnd"/>
      <w:r w:rsidRPr="001B687E">
        <w:rPr>
          <w:rFonts w:eastAsia="Times New Roman" w:cs="Times New Roman"/>
        </w:rPr>
        <w:t>?</w:t>
      </w:r>
    </w:p>
    <w:p w14:paraId="3802B943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lastRenderedPageBreak/>
        <w:t>В чем разница между «прямым» и «косвенным» воздействием компании на устойчивость?</w:t>
      </w:r>
    </w:p>
    <w:p w14:paraId="5B8A053F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 интегрировать показатели прав человека из GRI в раздел «Социальный аспект»?</w:t>
      </w:r>
    </w:p>
    <w:p w14:paraId="58F82DC8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 xml:space="preserve">Какие методики использует РЖД для расчета углеродного следа (по данным </w:t>
      </w:r>
      <w:proofErr w:type="spellStart"/>
      <w:r w:rsidRPr="001B687E">
        <w:rPr>
          <w:rFonts w:eastAsia="Times New Roman" w:cs="Times New Roman"/>
        </w:rPr>
        <w:t>csr_ru</w:t>
      </w:r>
      <w:proofErr w:type="spellEnd"/>
      <w:r w:rsidRPr="001B687E">
        <w:rPr>
          <w:rFonts w:eastAsia="Times New Roman" w:cs="Times New Roman"/>
        </w:rPr>
        <w:t>...)?</w:t>
      </w:r>
    </w:p>
    <w:p w14:paraId="44014113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этапы включают аудит регламентов по управлению устойчивым развитием?</w:t>
      </w:r>
    </w:p>
    <w:p w14:paraId="7F2A538F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данные должны быть в разделе «Управление» отчета по GRI?</w:t>
      </w:r>
    </w:p>
    <w:p w14:paraId="15D4971A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 описать подходы к ответственному финансированию в отчетности (по методологии ee6b3230...)?</w:t>
      </w:r>
    </w:p>
    <w:p w14:paraId="17B5878E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 xml:space="preserve">Какие показатели входят в индекс скорректированных чистых накоплений </w:t>
      </w:r>
      <w:proofErr w:type="spellStart"/>
      <w:r w:rsidRPr="001B687E">
        <w:rPr>
          <w:rFonts w:eastAsia="Times New Roman" w:cs="Times New Roman"/>
        </w:rPr>
        <w:t>World</w:t>
      </w:r>
      <w:proofErr w:type="spellEnd"/>
      <w:r w:rsidRPr="001B687E">
        <w:rPr>
          <w:rFonts w:eastAsia="Times New Roman" w:cs="Times New Roman"/>
        </w:rPr>
        <w:t xml:space="preserve"> </w:t>
      </w:r>
      <w:proofErr w:type="spellStart"/>
      <w:r w:rsidRPr="001B687E">
        <w:rPr>
          <w:rFonts w:eastAsia="Times New Roman" w:cs="Times New Roman"/>
        </w:rPr>
        <w:t>Bank</w:t>
      </w:r>
      <w:proofErr w:type="spellEnd"/>
      <w:r w:rsidRPr="001B687E">
        <w:rPr>
          <w:rFonts w:eastAsia="Times New Roman" w:cs="Times New Roman"/>
        </w:rPr>
        <w:t>?</w:t>
      </w:r>
    </w:p>
    <w:p w14:paraId="2A1E1486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 интегрировать информацию о научно-исследовательских проектах в отчетность по устойчивому развитию?</w:t>
      </w:r>
    </w:p>
    <w:p w14:paraId="5F062C86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этапы включают верификацию данных по цепочкам поставок?</w:t>
      </w:r>
    </w:p>
    <w:p w14:paraId="0AE6F456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 оценить соответствие отчета принципам сопоставимости?</w:t>
      </w:r>
    </w:p>
    <w:p w14:paraId="5938510C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KPI важны для оценки социальной ответственности по ISO 26000?</w:t>
      </w:r>
    </w:p>
    <w:p w14:paraId="608A0FFA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 оформить раздел «Внешнее подтверждение» для зеленых облигаций?</w:t>
      </w:r>
    </w:p>
    <w:p w14:paraId="2B93C2C3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>Какие методы анализа данных используются для прогнозирования ESG-рисков?</w:t>
      </w:r>
    </w:p>
    <w:p w14:paraId="5EA37D9E" w14:textId="77777777" w:rsidR="00C70089" w:rsidRPr="001B687E" w:rsidRDefault="00C70089" w:rsidP="001B687E">
      <w:pPr>
        <w:pStyle w:val="a6"/>
        <w:numPr>
          <w:ilvl w:val="0"/>
          <w:numId w:val="20"/>
        </w:numPr>
        <w:spacing w:after="160" w:line="259" w:lineRule="auto"/>
        <w:rPr>
          <w:rFonts w:eastAsia="Times New Roman" w:cs="Times New Roman"/>
        </w:rPr>
      </w:pPr>
      <w:r w:rsidRPr="001B687E">
        <w:rPr>
          <w:rFonts w:eastAsia="Times New Roman" w:cs="Times New Roman"/>
        </w:rPr>
        <w:t xml:space="preserve">Какие принципы из GRI </w:t>
      </w:r>
      <w:proofErr w:type="spellStart"/>
      <w:r w:rsidRPr="001B687E">
        <w:rPr>
          <w:rFonts w:eastAsia="Times New Roman" w:cs="Times New Roman"/>
        </w:rPr>
        <w:t>Standards</w:t>
      </w:r>
      <w:proofErr w:type="spellEnd"/>
      <w:r w:rsidRPr="001B687E">
        <w:rPr>
          <w:rFonts w:eastAsia="Times New Roman" w:cs="Times New Roman"/>
        </w:rPr>
        <w:t xml:space="preserve"> 2021 отличаются от версии 3.0?</w:t>
      </w:r>
    </w:p>
    <w:p w14:paraId="0BBF6F4C" w14:textId="77777777" w:rsidR="00C0584B" w:rsidRPr="00C0584B" w:rsidRDefault="00C0584B" w:rsidP="00C70089">
      <w:pPr>
        <w:spacing w:line="240" w:lineRule="auto"/>
        <w:jc w:val="both"/>
        <w:rPr>
          <w:rFonts w:cs="Times New Roman"/>
          <w:b/>
          <w:bCs/>
          <w:szCs w:val="28"/>
        </w:rPr>
      </w:pPr>
    </w:p>
    <w:sectPr w:rsidR="00C0584B" w:rsidRPr="00C0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9E2"/>
    <w:multiLevelType w:val="multilevel"/>
    <w:tmpl w:val="36EEC9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26B65"/>
    <w:multiLevelType w:val="multilevel"/>
    <w:tmpl w:val="C182341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6BEF"/>
    <w:multiLevelType w:val="multilevel"/>
    <w:tmpl w:val="E53E31C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41149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A51980"/>
    <w:multiLevelType w:val="multilevel"/>
    <w:tmpl w:val="6D62B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E16D3B"/>
    <w:multiLevelType w:val="hybridMultilevel"/>
    <w:tmpl w:val="0BE49476"/>
    <w:lvl w:ilvl="0" w:tplc="929AA9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A32824"/>
    <w:multiLevelType w:val="hybridMultilevel"/>
    <w:tmpl w:val="2C4A6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D7BE8"/>
    <w:multiLevelType w:val="hybridMultilevel"/>
    <w:tmpl w:val="8C1CA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D264F"/>
    <w:multiLevelType w:val="hybridMultilevel"/>
    <w:tmpl w:val="9788B8B2"/>
    <w:lvl w:ilvl="0" w:tplc="EB908A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E87C06"/>
    <w:multiLevelType w:val="hybridMultilevel"/>
    <w:tmpl w:val="79BC8062"/>
    <w:lvl w:ilvl="0" w:tplc="76089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37895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43D7ADC"/>
    <w:multiLevelType w:val="hybridMultilevel"/>
    <w:tmpl w:val="2E7EF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A9ACB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F56BB"/>
    <w:multiLevelType w:val="hybridMultilevel"/>
    <w:tmpl w:val="7D746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B611FA"/>
    <w:multiLevelType w:val="hybridMultilevel"/>
    <w:tmpl w:val="94840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754A"/>
    <w:multiLevelType w:val="multilevel"/>
    <w:tmpl w:val="2D2436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2E179B"/>
    <w:multiLevelType w:val="hybridMultilevel"/>
    <w:tmpl w:val="87D6A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3470D6"/>
    <w:multiLevelType w:val="hybridMultilevel"/>
    <w:tmpl w:val="DAFEE6CA"/>
    <w:lvl w:ilvl="0" w:tplc="6BE2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254EAE"/>
    <w:multiLevelType w:val="multilevel"/>
    <w:tmpl w:val="397831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426596"/>
    <w:multiLevelType w:val="hybridMultilevel"/>
    <w:tmpl w:val="D3F4B5E6"/>
    <w:lvl w:ilvl="0" w:tplc="A1D4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BE012A"/>
    <w:multiLevelType w:val="hybridMultilevel"/>
    <w:tmpl w:val="1C3EFCD8"/>
    <w:lvl w:ilvl="0" w:tplc="86945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8"/>
  </w:num>
  <w:num w:numId="6">
    <w:abstractNumId w:val="18"/>
  </w:num>
  <w:num w:numId="7">
    <w:abstractNumId w:val="5"/>
  </w:num>
  <w:num w:numId="8">
    <w:abstractNumId w:val="19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4"/>
  </w:num>
  <w:num w:numId="18">
    <w:abstractNumId w:val="11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5D"/>
    <w:rsid w:val="000C215D"/>
    <w:rsid w:val="001B687E"/>
    <w:rsid w:val="003F2ACD"/>
    <w:rsid w:val="004F66F8"/>
    <w:rsid w:val="00554452"/>
    <w:rsid w:val="007C4303"/>
    <w:rsid w:val="0081451C"/>
    <w:rsid w:val="00815935"/>
    <w:rsid w:val="00881334"/>
    <w:rsid w:val="009F4117"/>
    <w:rsid w:val="00A97FEF"/>
    <w:rsid w:val="00AA1EE5"/>
    <w:rsid w:val="00AC10AF"/>
    <w:rsid w:val="00AE0611"/>
    <w:rsid w:val="00B243F6"/>
    <w:rsid w:val="00C0584B"/>
    <w:rsid w:val="00C0695A"/>
    <w:rsid w:val="00C14423"/>
    <w:rsid w:val="00C70089"/>
    <w:rsid w:val="00D50741"/>
    <w:rsid w:val="00DE3156"/>
    <w:rsid w:val="00E226E6"/>
    <w:rsid w:val="00F1314A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E74"/>
  <w15:docId w15:val="{5F77A2D7-BAF1-4A28-9508-CB28703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4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C4303"/>
    <w:pPr>
      <w:keepNext/>
      <w:keepLines/>
      <w:spacing w:before="320" w:line="240" w:lineRule="auto"/>
      <w:outlineLvl w:val="0"/>
    </w:pPr>
    <w:rPr>
      <w:rFonts w:eastAsiaTheme="majorEastAsia" w:cstheme="majorBidi"/>
      <w:b/>
      <w:color w:val="000000" w:themeColor="text1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145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1451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C4303"/>
    <w:rPr>
      <w:rFonts w:ascii="Times New Roman" w:eastAsiaTheme="majorEastAsia" w:hAnsi="Times New Roman" w:cstheme="majorBidi"/>
      <w:b/>
      <w:color w:val="000000" w:themeColor="text1"/>
      <w:sz w:val="28"/>
      <w:szCs w:val="30"/>
    </w:rPr>
  </w:style>
  <w:style w:type="paragraph" w:styleId="a5">
    <w:name w:val="No Spacing"/>
    <w:uiPriority w:val="1"/>
    <w:qFormat/>
    <w:rsid w:val="00815935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AE06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611"/>
    <w:pPr>
      <w:widowControl w:val="0"/>
      <w:shd w:val="clear" w:color="auto" w:fill="FFFFFF"/>
      <w:spacing w:line="0" w:lineRule="atLeast"/>
      <w:ind w:hanging="400"/>
      <w:jc w:val="both"/>
    </w:pPr>
    <w:rPr>
      <w:rFonts w:eastAsia="Times New Roman" w:cs="Times New Roman"/>
      <w:szCs w:val="28"/>
    </w:rPr>
  </w:style>
  <w:style w:type="paragraph" w:styleId="a6">
    <w:name w:val="List Paragraph"/>
    <w:basedOn w:val="a"/>
    <w:uiPriority w:val="34"/>
    <w:qFormat/>
    <w:rsid w:val="0055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61DE-B4D5-46E9-AC4C-399DE2EE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Боландова Юлия Константиновна</dc:creator>
  <cp:keywords/>
  <dc:description/>
  <cp:lastModifiedBy>Асманкин Евгений Геннадьевич</cp:lastModifiedBy>
  <cp:revision>12</cp:revision>
  <dcterms:created xsi:type="dcterms:W3CDTF">2022-02-12T14:08:00Z</dcterms:created>
  <dcterms:modified xsi:type="dcterms:W3CDTF">2025-05-20T16:07:00Z</dcterms:modified>
</cp:coreProperties>
</file>