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C" w:rsidRDefault="00AD123C" w:rsidP="001627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Примерные оценочные материалы, применяемые при проведении промежуточной аттестации по </w:t>
      </w:r>
      <w:r w:rsidR="00162795">
        <w:rPr>
          <w:b/>
          <w:bCs/>
          <w:sz w:val="28"/>
          <w:szCs w:val="28"/>
        </w:rPr>
        <w:t>производственной практике</w:t>
      </w:r>
      <w:bookmarkStart w:id="0" w:name="_GoBack"/>
      <w:bookmarkEnd w:id="0"/>
    </w:p>
    <w:p w:rsidR="00AD123C" w:rsidRDefault="00AD123C" w:rsidP="00AD123C">
      <w:pPr>
        <w:pStyle w:val="Default"/>
        <w:jc w:val="center"/>
        <w:rPr>
          <w:b/>
          <w:bCs/>
          <w:sz w:val="28"/>
          <w:szCs w:val="28"/>
        </w:rPr>
      </w:pPr>
    </w:p>
    <w:p w:rsidR="00AD123C" w:rsidRPr="00D71BD4" w:rsidRDefault="00AD123C" w:rsidP="00AD123C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AD123C" w:rsidRPr="00AD123C" w:rsidRDefault="00AD123C" w:rsidP="00AD123C">
      <w:pPr>
        <w:pStyle w:val="Default"/>
        <w:jc w:val="center"/>
        <w:rPr>
          <w:b/>
          <w:bCs/>
          <w:sz w:val="28"/>
          <w:szCs w:val="28"/>
        </w:rPr>
      </w:pPr>
    </w:p>
    <w:p w:rsidR="00396FD8" w:rsidRDefault="00731B0C" w:rsidP="00396FD8">
      <w:pPr>
        <w:spacing w:before="240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6FD8">
        <w:rPr>
          <w:rFonts w:ascii="Times New Roman" w:hAnsi="Times New Roman" w:cs="Times New Roman"/>
          <w:b/>
          <w:noProof/>
          <w:sz w:val="28"/>
          <w:szCs w:val="28"/>
        </w:rPr>
        <w:t>Уст</w:t>
      </w:r>
      <w:r w:rsidR="00396FD8">
        <w:rPr>
          <w:rFonts w:ascii="Times New Roman" w:hAnsi="Times New Roman" w:cs="Times New Roman"/>
          <w:b/>
          <w:noProof/>
          <w:sz w:val="28"/>
          <w:szCs w:val="28"/>
        </w:rPr>
        <w:t>ный опрос по следующим вопросам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1. История развития и преимущества методов сетевого планирования и управления.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2. Понятие о проектно-ориентированном управлении. Отличие проектно-ориентированного управ¬ления от традиционного управления. Эффективность проектного менеджмента.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3. Определение понятий «проект» и «управление проектом». Управление проектом как открытая динамическая система. Треугольник менеджмента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4. Проект как объект управления и его основные отличительные признаки. Наблюдаемость. Управ-ляемость. Треугольник менеджмента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5. Особенности инновационных проектов. Схема изменения цели инновационного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6. Международные и национальные стандарты и нормы по управлению проектами и их применение.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7. Международные и национальные стандарты по управлению качеством и их роль в управлении проектами.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8. Классификация проектов. Проблемы классификации проектов.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9. Классификация концепций проектно-ориентированного управления (терминальные, развиваю¬щиеся, открытые проекты, мультипроекты).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10. Окружающая среда и участники (инициатор, заказчик, инвестор, проект-менеджер, контрактор, субконтрактор, потребитель, команда)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11. Жизненный цикл проекта (проектный цикл), его структура и фазы.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12. Подсистемы управления проектом по ANSI/PMI 99-001-2004 РМВОК Guide.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13. Понятие организационной структуры управления проектом. Команда управления проектом, ко¬манда проекта, команда.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14. Пять основных типов организационных структур управления проектами (выделенная структура, управление по проектам, всеобщее управление проектами, двойственная структура, сложная структу¬ра) и их схемы.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15. Три типа сложных организационных структур управления проектами и их схемы.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16. Характеристики организационных структур управления проектами.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17. Принципы классификации организационных структур в зависимости от содержания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18. Функциональная организационная структура, ее преимущества и недостатки. Схема ее взаимо¬действия с проектными структурами.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19. Команды в рамках функциональных структур,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20. Матричные организационные структуры, их преимущества и недостатки.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</w:r>
      <w:r w:rsidRPr="00396FD8">
        <w:rPr>
          <w:rFonts w:ascii="Times New Roman" w:hAnsi="Times New Roman" w:cs="Times New Roman"/>
          <w:noProof/>
          <w:sz w:val="28"/>
          <w:szCs w:val="28"/>
        </w:rPr>
        <w:lastRenderedPageBreak/>
        <w:t>21. Проектно-целевые организационные структуры, их преимущества и недостатки.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22. Смешанные (гибридные) организационные структуры.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23. Сравнение органистических и механистических организационных структур управления проекта¬ми.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24. Общие принципы выбора организационной структуры управления проектами.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25. Сетевые модели, их классификация и применение для управления проектами. Коэффициент сложности сетевой модели. Три степени детализации сетевых моделей. Комбинированные сетевые модели.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26. Линейные модели и их применение для управления проектами: график Гантта (ленточная диа¬грамма). Недостатки линейных моделей и пути их преодоления.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27. График Гантта (ленточная диаграмма) и его построение для различных видов технологических связей между работами проекта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28. Иерархические графы и их разновидности (дерево целей, организационная структура, дерево ре¬шения, причинно-следственная диаграмма и др.).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29. Сетевое планирование и управление (СПУ). Основные понятия и определения СПУ: сетевая мо¬дель, работа, событие, путь. Виды сетевых моделей, работ, событий и путей. Правила построения се¬тевых моделей. Критический путь. Подкритический путь.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30. Матрицы ответственности проекта, их разновидности и примеры</w:t>
      </w:r>
    </w:p>
    <w:p w:rsidR="00396FD8" w:rsidRDefault="00731B0C" w:rsidP="00396FD8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6FD8">
        <w:rPr>
          <w:rFonts w:ascii="Times New Roman" w:hAnsi="Times New Roman" w:cs="Times New Roman"/>
          <w:noProof/>
          <w:sz w:val="28"/>
          <w:szCs w:val="28"/>
        </w:rPr>
        <w:t xml:space="preserve">31. Иерархический граф структуры декомпозиции (разбиения) работ как эффективный инструмент управления проектом.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32. Метод освоенного объема и его роль в управлении проектом.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33. Базовые показатели метода освоенного объема.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34. Управление качеством проектов.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35. Методы ролевой ориентации при подборе команды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36. Управление рисками проектов.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37. Устав проекта. Основная документация проекта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38. Методы поиска проектных решений. Завершение проекта.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39. Программное обеспечение проектно-ориентированного управления. Достоинства и недостатки программных продуктов, применяемых в сфере управления проектами.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40. Классификация временных ограничений проекта в MS Project.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41. Ресурсное планирование проекта в MS Project.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42. Расчет стоимости проекта в MS Project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43. Метод критического пути и его применение в MS Project.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44. Типы задач в MS Project.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45. Выравнивание загрузки ресурсов проекта в MS Project.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46. Многопроектность в MS Project. Создание пула ресурсов. Консолидация проектов.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47. Отслеживание проекта в MS Project. Базовый план.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48. Использование методики освоенного объема в MS Project.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</w:r>
      <w:r w:rsidRPr="00396FD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49. Актуальность планирования в современном бизнесе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50. Предпосылки принятия правильного решения при выборе варианта осуществления бизнес-плана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51. Цели и задачи бизнес-планирования. Типололгия бизнес-планов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52. Определение планирования. Стратегические, тактические и оперативные планы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53. Основные принципы планирования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54. Определение бизнес плана и условия успешной организации бизнес планирования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55. Общая процедура упорядочения плановой деятельности предприятия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56. Пять основных этапов процесса бизнес планирования от идеи до готового продукта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57. Этапы формирования бизнес плана: определение миссии предприятия; формирование цели и задач проекта; установление общей структуры бизнес-плана; сбор необходимой информации; составление бизнес-плана (процесс планирования).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58. Структура бизнес-плана. Краткая характеристика каждого раздела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59. Характеристика Резюме. Порядок составления. Основная информация.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60. Назначение и элементы раздела «Описание предприятия и отрасли»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61. Назначение и элементы раздела «Характеристика объекта бизнеса»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62. Назначение и элементы раздела «Исследование и анализ рынка». Основные инструменты анализа.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63. Подходы к определению ключевых факторов успеха в конкурентной борьбе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64. Назначение и элементы раздела «План маркетинговых действий на рынке»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65. Назначение и элементы раздела «План производства»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66. Назначение и элементы раздела «Организационный план»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67. Назначение и элементы раздела «Оценка рисков и страхование»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68. Назначение и элементы раздела «Финансовый план»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69. Характеристика основных подходов к формированию стратегии финансирования в бизнес-планировании: самофинансирование, кредитное, государственное, проектное, смешанное.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70. Общая последовательность анализа бизнес плана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71. Подходы к прогнозированию объема сбыта инновационной продукции.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72. Детерминанты спроса и тенденции его изменения. Классификация спроса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73. Характеристика и роль товарной, ценовой, сбытовой и коммуникативной политики организации при разработке бизнес-плана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74. Инновации товара: дифференциация, диверсификация.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75. Деловое расписание в бизнес-плане. Порядок составления. Инструменты.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76. Определение потребности в ресурсах (основные средства) при разработке бизнес-плана в разделе «План производства».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77. Определение потребности в оборотных средствах при разработке бизнес-плана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78. Характеристика основных документов финансового плана: оперативный </w:t>
      </w:r>
      <w:r w:rsidRPr="00396FD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план; план доходов и расходов (финансовых результатов); план движения денежных средств; плановый баланс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79. Понятие инвестиции. Средства, необходимые для реализации предлагаемого проект. Классификация инвестиций. Источники инвестиций.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80. Критерии оценки эффективности бизнес-плана по видам деятельности: производственно-хозяйственная, инвестиционная, финансовая.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81. Подходы к обоснованию величины дисконта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 xml:space="preserve">82. Международная практика обоснования мероприятий бизнес-плана. Обобщающие показатели, позволяющие подготовить решение о целесообразности (нецелесообразности) вложения средств: чистая текущая стоимость (NPV); срок окупаемости; индекс доходности, 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83. Международная практика обоснования мероприятий бизнес-плана. Обобщающие показатели, позволяющие подготовить решение о целесообразности (нецелесообразности) вложения средств: внутренний норма рентабельности; точка безубыточности.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84. Определение риска. Методы оценки риска в бизнес-планировании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  <w:t>85. Определение риска. Методы управления рисками в бизнес-планировании</w:t>
      </w:r>
      <w:r w:rsidRPr="00396FD8">
        <w:rPr>
          <w:rFonts w:ascii="Times New Roman" w:hAnsi="Times New Roman" w:cs="Times New Roman"/>
          <w:noProof/>
          <w:sz w:val="28"/>
          <w:szCs w:val="28"/>
        </w:rPr>
        <w:br/>
      </w: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D123C" w:rsidTr="00986DA6">
        <w:trPr>
          <w:trHeight w:val="283"/>
          <w:jc w:val="center"/>
        </w:trPr>
        <w:tc>
          <w:tcPr>
            <w:tcW w:w="9639" w:type="dxa"/>
          </w:tcPr>
          <w:p w:rsidR="00AD123C" w:rsidRPr="00653650" w:rsidRDefault="00AD123C" w:rsidP="00986DA6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Бланк индивидуального задания на практику: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Специализация / профиль: ___________________________________________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Учебная группа: ___________________________________________________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Вид практики: _____________________________________________________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Срок прохождения практики: 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Объект практики: __________________________________________________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935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AD123C" w:rsidRPr="00AD123C" w:rsidTr="00986DA6">
              <w:tc>
                <w:tcPr>
                  <w:tcW w:w="562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2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2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2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AD123C" w:rsidRPr="00AD123C" w:rsidTr="00986DA6">
              <w:tc>
                <w:tcPr>
                  <w:tcW w:w="562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D123C" w:rsidRPr="00AD123C" w:rsidRDefault="00AD123C" w:rsidP="00986DA6">
                  <w:pPr>
                    <w:pStyle w:val="a7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(подпись)                     (должность)                                       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титульного листа отчета по практике:</w:t>
            </w:r>
          </w:p>
          <w:p w:rsidR="00AD123C" w:rsidRPr="00AD123C" w:rsidRDefault="00AD123C" w:rsidP="00986DA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23C" w:rsidRPr="00AD123C" w:rsidRDefault="00AD123C" w:rsidP="00986DA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ТРАНСПОРТА РОССИЙСКОЙ ФЕДЕРАЦИИ</w:t>
            </w:r>
          </w:p>
          <w:p w:rsidR="00AD123C" w:rsidRPr="00AD123C" w:rsidRDefault="00AD123C" w:rsidP="00986DA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23C" w:rsidRPr="00AD123C" w:rsidRDefault="00AD123C" w:rsidP="00986DA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</w:p>
          <w:p w:rsidR="00AD123C" w:rsidRPr="00AD123C" w:rsidRDefault="00AD123C" w:rsidP="00986DA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РОССИЙСКИЙ УНИВЕРСИТЕТ ТРАНСПОРТА РУТ (МИИТ)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Кафедра «………………………………»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……………………………. практике 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Выполнил: _______________________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университета: 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организации: _____________________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Москва 2024 г. </w:t>
            </w: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отчета по практике:</w:t>
            </w:r>
          </w:p>
          <w:p w:rsidR="00AD123C" w:rsidRPr="00AD123C" w:rsidRDefault="00AD123C" w:rsidP="00986DA6">
            <w:pPr>
              <w:pStyle w:val="a7"/>
              <w:spacing w:line="276" w:lineRule="auto"/>
              <w:ind w:left="1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характеристика организации – места прохождения практики.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Описание информационных технологий и программных средств, используемых в организации.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Описание инструментов бизнес-моделирования, использующихся  в организации в бизнес-процессах транспортно-логистической сферы.</w:t>
            </w:r>
          </w:p>
          <w:p w:rsidR="00AD123C" w:rsidRPr="00AD123C" w:rsidRDefault="00AD123C" w:rsidP="00AD123C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Предложения по оптимизации …..</w:t>
            </w:r>
          </w:p>
          <w:p w:rsidR="00AD123C" w:rsidRPr="00AD123C" w:rsidRDefault="00AD123C" w:rsidP="00986DA6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AD123C" w:rsidRDefault="00AD123C" w:rsidP="00986DA6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  <w:p w:rsidR="00AD123C" w:rsidRPr="00AD123C" w:rsidRDefault="00AD123C" w:rsidP="00986DA6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AD123C" w:rsidRPr="00AD123C" w:rsidRDefault="00AD123C" w:rsidP="00986DA6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AD123C" w:rsidRDefault="00AD123C" w:rsidP="00986D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986D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AD123C" w:rsidRPr="00AD123C" w:rsidRDefault="00AD123C" w:rsidP="00986DA6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AD123C" w:rsidRPr="00AD123C" w:rsidRDefault="00AD123C" w:rsidP="00986DA6">
            <w:pPr>
              <w:pStyle w:val="a7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:rsidR="00AD123C" w:rsidRPr="00AD123C" w:rsidRDefault="00AD123C" w:rsidP="00986DA6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AD123C" w:rsidRPr="00AD123C" w:rsidRDefault="00AD123C" w:rsidP="00986DA6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3C" w:rsidRPr="00AD123C" w:rsidRDefault="00AD123C" w:rsidP="00AD123C">
            <w:pPr>
              <w:pStyle w:val="a7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3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AD123C" w:rsidRPr="00AD123C" w:rsidTr="00986DA6">
              <w:tc>
                <w:tcPr>
                  <w:tcW w:w="2850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  <w:highlight w:val="yellow"/>
                    </w:rPr>
                  </w:pPr>
                  <w:r w:rsidRPr="00AD123C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AD123C" w:rsidRPr="00AD123C" w:rsidTr="00986DA6">
              <w:tc>
                <w:tcPr>
                  <w:tcW w:w="2850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Отлично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AD123C" w:rsidRPr="00AD123C" w:rsidTr="00986DA6">
              <w:tc>
                <w:tcPr>
                  <w:tcW w:w="2850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Хорошо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  <w:p w:rsid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</w:p>
              </w:tc>
            </w:tr>
            <w:tr w:rsidR="00AD123C" w:rsidRPr="00AD123C" w:rsidTr="00986DA6">
              <w:tc>
                <w:tcPr>
                  <w:tcW w:w="2850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</w:t>
                  </w:r>
                  <w:r w:rsidRPr="00AD123C">
                    <w:rPr>
                      <w:sz w:val="28"/>
                      <w:szCs w:val="28"/>
                    </w:rPr>
                    <w:lastRenderedPageBreak/>
                    <w:t>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D123C" w:rsidRPr="00AD123C" w:rsidTr="00986DA6">
              <w:tc>
                <w:tcPr>
                  <w:tcW w:w="2850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lastRenderedPageBreak/>
                    <w:t>Неудовлетворительно</w:t>
                  </w:r>
                </w:p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AD123C" w:rsidRPr="00AD123C" w:rsidRDefault="00AD123C" w:rsidP="00986DA6">
                  <w:pPr>
                    <w:pStyle w:val="a9"/>
                    <w:rPr>
                      <w:sz w:val="28"/>
                      <w:szCs w:val="28"/>
                    </w:rPr>
                  </w:pPr>
                  <w:r w:rsidRPr="00AD123C"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AD123C" w:rsidRDefault="00AD123C" w:rsidP="00986DA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D123C" w:rsidRPr="00653650" w:rsidTr="00986DA6">
        <w:trPr>
          <w:trHeight w:val="283"/>
          <w:jc w:val="center"/>
        </w:trPr>
        <w:tc>
          <w:tcPr>
            <w:tcW w:w="9639" w:type="dxa"/>
          </w:tcPr>
          <w:p w:rsidR="00AD123C" w:rsidRPr="00653650" w:rsidRDefault="00AD123C" w:rsidP="00986DA6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1B0C" w:rsidRPr="00396FD8" w:rsidRDefault="00731B0C" w:rsidP="00396FD8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731B0C" w:rsidRPr="00396F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39" w:rsidRDefault="005C7239" w:rsidP="00AD123C">
      <w:pPr>
        <w:spacing w:after="0" w:line="240" w:lineRule="auto"/>
      </w:pPr>
      <w:r>
        <w:separator/>
      </w:r>
    </w:p>
  </w:endnote>
  <w:endnote w:type="continuationSeparator" w:id="0">
    <w:p w:rsidR="005C7239" w:rsidRDefault="005C7239" w:rsidP="00AD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39" w:rsidRDefault="005C7239" w:rsidP="00AD123C">
      <w:pPr>
        <w:spacing w:after="0" w:line="240" w:lineRule="auto"/>
      </w:pPr>
      <w:r>
        <w:separator/>
      </w:r>
    </w:p>
  </w:footnote>
  <w:footnote w:type="continuationSeparator" w:id="0">
    <w:p w:rsidR="005C7239" w:rsidRDefault="005C7239" w:rsidP="00AD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134AE"/>
    <w:multiLevelType w:val="hybridMultilevel"/>
    <w:tmpl w:val="FC4EC1E8"/>
    <w:lvl w:ilvl="0" w:tplc="2712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F5"/>
    <w:rsid w:val="00162795"/>
    <w:rsid w:val="002C13F5"/>
    <w:rsid w:val="00396FD8"/>
    <w:rsid w:val="005C7239"/>
    <w:rsid w:val="00731B0C"/>
    <w:rsid w:val="00931FCE"/>
    <w:rsid w:val="00AD123C"/>
    <w:rsid w:val="00B41568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Pr>
      <w:rFonts w:ascii="Arial" w:eastAsia="Times New Roman" w:hAnsi="Arial" w:cs="Arial" w:hint="default"/>
      <w:sz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D1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D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2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Pr>
      <w:rFonts w:ascii="Arial" w:eastAsia="Times New Roman" w:hAnsi="Arial" w:cs="Arial" w:hint="default"/>
      <w:sz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D1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D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2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Анастасия</dc:creator>
  <cp:lastModifiedBy>Грачева Наталья Сергеевна</cp:lastModifiedBy>
  <cp:revision>6</cp:revision>
  <dcterms:created xsi:type="dcterms:W3CDTF">2021-12-10T12:36:00Z</dcterms:created>
  <dcterms:modified xsi:type="dcterms:W3CDTF">2024-11-13T15:13:00Z</dcterms:modified>
</cp:coreProperties>
</file>