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3C4A" w14:textId="77777777" w:rsidR="001B0C24" w:rsidRPr="001B0C24" w:rsidRDefault="001B0C24" w:rsidP="001B0C2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B0C2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проведении промежуточной аттестации по дисциплине (модулю)</w:t>
      </w:r>
    </w:p>
    <w:p w14:paraId="0365C243" w14:textId="77777777" w:rsidR="00815141" w:rsidRPr="001B7E26" w:rsidRDefault="00815141" w:rsidP="00815141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1DA2B26" w14:textId="5150879C" w:rsidR="00815141" w:rsidRPr="008D614C" w:rsidRDefault="008D614C" w:rsidP="00815141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8151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Риски бизнеса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транспортной деятельности»</w:t>
      </w:r>
    </w:p>
    <w:p w14:paraId="266084EA" w14:textId="77777777" w:rsidR="001B0C24" w:rsidRPr="008D614C" w:rsidRDefault="001B0C24" w:rsidP="00815141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1BC0BC06" w14:textId="4F1491E9" w:rsidR="001B0C24" w:rsidRDefault="001B0C24" w:rsidP="001B0C2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B0C2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Примерный перечень вопросов</w:t>
      </w:r>
    </w:p>
    <w:p w14:paraId="632E651E" w14:textId="77777777" w:rsidR="008D614C" w:rsidRPr="001B0C24" w:rsidRDefault="008D614C" w:rsidP="001B0C2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BF9ED3A" w14:textId="33ED0188" w:rsidR="001B0C24" w:rsidRPr="001B0C24" w:rsidRDefault="001B0C24" w:rsidP="001B0C2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B0C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 проведении промежуточной аттестации обучающемуся предлаг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ается дать ответы на 2 вопроса</w:t>
      </w:r>
      <w:r w:rsidRPr="001B0C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 нижеприведенного списка.</w:t>
      </w:r>
    </w:p>
    <w:p w14:paraId="21D9FCB9" w14:textId="77777777" w:rsidR="009549C2" w:rsidRDefault="009549C2">
      <w:pPr>
        <w:rPr>
          <w:lang w:val="en-US"/>
        </w:rPr>
      </w:pPr>
    </w:p>
    <w:p w14:paraId="1EFB98BC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Сущность риска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основные</w:t>
      </w:r>
      <w:bookmarkStart w:id="0" w:name="_GoBack"/>
      <w:bookmarkEnd w:id="0"/>
      <w:r w:rsidRPr="008D614C">
        <w:rPr>
          <w:rFonts w:ascii="TimesNewRoman" w:hAnsi="TimesNewRoman"/>
          <w:color w:val="000000" w:themeColor="text1"/>
          <w:sz w:val="26"/>
        </w:rPr>
        <w:t xml:space="preserve"> элементы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причины возникновения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351F14A0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Объекты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Общая характеристика и структура объектов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04671E0A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Субъекты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Общая характеристика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Виды отношений между субъектами и объектами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02F805EE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Факторы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Внутренние и внешние факторы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Виды ущерба от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000839F5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Построение моделей ситуации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56A40BDA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Причины возникновения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Классификация рисков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6E677C3C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Характеристика системы управления рисками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Суть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причины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процедуры и форма управления рисками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Задачи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решаемые при управлении рисками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1315F519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Концепция приемлемого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Связь приемлемого риска с экономическим циклом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циклом жизни компании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продуктовым циклом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4C6877C1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Основные принципы управления риском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5EC6FF61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Этапы процесса управления риском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13400508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Источники финансирования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Структура затрат при различных методах управления риском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1A0DC0C0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 xml:space="preserve">Анализ эффективности методов управления риском </w:t>
      </w:r>
      <w:r w:rsidRPr="008D614C">
        <w:rPr>
          <w:rFonts w:ascii="Times" w:hAnsi="Times"/>
          <w:color w:val="000000" w:themeColor="text1"/>
          <w:sz w:val="28"/>
        </w:rPr>
        <w:t xml:space="preserve">- </w:t>
      </w:r>
      <w:r w:rsidRPr="008D614C">
        <w:rPr>
          <w:rFonts w:ascii="TimesNewRoman" w:hAnsi="TimesNewRoman"/>
          <w:color w:val="000000" w:themeColor="text1"/>
          <w:sz w:val="26"/>
        </w:rPr>
        <w:t>общие подходы экономические критерии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1CA84C1C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Статистические и вероятностные методы оценки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7F7C9726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Оценки риска с помощью метода Монте</w:t>
      </w:r>
      <w:r w:rsidRPr="008D614C">
        <w:rPr>
          <w:rFonts w:ascii="Times" w:hAnsi="Times"/>
          <w:color w:val="000000" w:themeColor="text1"/>
          <w:sz w:val="28"/>
        </w:rPr>
        <w:t>-</w:t>
      </w:r>
      <w:r w:rsidRPr="008D614C">
        <w:rPr>
          <w:rFonts w:ascii="TimesNewRoman" w:hAnsi="TimesNewRoman"/>
          <w:color w:val="000000" w:themeColor="text1"/>
          <w:sz w:val="26"/>
        </w:rPr>
        <w:t>Карло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69BF89DC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Использование дерева решений для оценки рисков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44723DA9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Построение матрицы решений и оценка риск-содержащих стратегий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6DB45A81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lastRenderedPageBreak/>
        <w:t>Методы построения профилей рисков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3B00E619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Специальные методы оценки рисков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2C8821D4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Экспертные методы оценки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Устойчивость экспертных оценок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Методы определения согласованности экспертных оценок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7D868632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Выбор стратегии с учетом риска в форме среднеквадратического отклонения</w:t>
      </w:r>
      <w:r w:rsidRPr="008D614C">
        <w:rPr>
          <w:rFonts w:ascii="Times" w:hAnsi="Times"/>
          <w:color w:val="000000" w:themeColor="text1"/>
          <w:sz w:val="28"/>
        </w:rPr>
        <w:t xml:space="preserve">: </w:t>
      </w:r>
      <w:r w:rsidRPr="008D614C">
        <w:rPr>
          <w:rFonts w:ascii="TimesNewRoman" w:hAnsi="TimesNewRoman"/>
          <w:color w:val="000000" w:themeColor="text1"/>
          <w:sz w:val="26"/>
        </w:rPr>
        <w:t>безусловное доминирование</w:t>
      </w:r>
      <w:r w:rsidRPr="008D614C">
        <w:rPr>
          <w:rFonts w:ascii="Times" w:hAnsi="Times"/>
          <w:color w:val="000000" w:themeColor="text1"/>
          <w:sz w:val="28"/>
        </w:rPr>
        <w:t xml:space="preserve">; </w:t>
      </w:r>
      <w:r w:rsidRPr="008D614C">
        <w:rPr>
          <w:rFonts w:ascii="TimesNewRoman" w:hAnsi="TimesNewRoman"/>
          <w:color w:val="000000" w:themeColor="text1"/>
          <w:sz w:val="26"/>
        </w:rPr>
        <w:t>использование функции рискового предпочтения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использование функции ожидаемой полезности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2CD7379B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Управление рисковыми портфелями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577D107F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Основы ценообразования на дисконтные и купонные облигации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 xml:space="preserve">Оценка процентного риска облигаций через </w:t>
      </w:r>
      <w:proofErr w:type="spellStart"/>
      <w:r w:rsidRPr="008D614C">
        <w:rPr>
          <w:rFonts w:ascii="TimesNewRoman" w:hAnsi="TimesNewRoman"/>
          <w:color w:val="000000" w:themeColor="text1"/>
          <w:sz w:val="26"/>
        </w:rPr>
        <w:t>дюрацию</w:t>
      </w:r>
      <w:proofErr w:type="spellEnd"/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эластичность и выпуклость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73EEB425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Использование теории опционов для управления рисковыми инвестициями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2781F1BE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Методы использование свопов в хеджировании рисков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3F23DB11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proofErr w:type="spellStart"/>
      <w:r w:rsidRPr="008D614C">
        <w:rPr>
          <w:rFonts w:ascii="TimesNewRoman" w:hAnsi="TimesNewRoman"/>
          <w:color w:val="000000" w:themeColor="text1"/>
          <w:sz w:val="26"/>
        </w:rPr>
        <w:t>Рисконесущие</w:t>
      </w:r>
      <w:proofErr w:type="spellEnd"/>
      <w:r w:rsidRPr="008D614C">
        <w:rPr>
          <w:rFonts w:ascii="TimesNewRoman" w:hAnsi="TimesNewRoman"/>
          <w:color w:val="000000" w:themeColor="text1"/>
          <w:sz w:val="26"/>
        </w:rPr>
        <w:t xml:space="preserve"> факторы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влияющие на денежные потоки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методы оценки риска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методы моделирования риска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5D97FB3B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proofErr w:type="spellStart"/>
      <w:r w:rsidRPr="008D614C">
        <w:rPr>
          <w:rFonts w:ascii="TimesNewRoman" w:hAnsi="TimesNewRoman"/>
          <w:color w:val="000000" w:themeColor="text1"/>
          <w:sz w:val="26"/>
        </w:rPr>
        <w:t>Рисконесущие</w:t>
      </w:r>
      <w:proofErr w:type="spellEnd"/>
      <w:r w:rsidRPr="008D614C">
        <w:rPr>
          <w:rFonts w:ascii="TimesNewRoman" w:hAnsi="TimesNewRoman"/>
          <w:color w:val="000000" w:themeColor="text1"/>
          <w:sz w:val="26"/>
        </w:rPr>
        <w:t xml:space="preserve"> факторы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влияющие на используемые коэффициенты дисконтирования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методы определения рисков проекта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включаемые в коэффициент дисконтирования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2A8E0164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Анализ чувствительности инвестиционных проектов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24D835F1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Производственный риск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Причины возникновения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структура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сущность</w:t>
      </w:r>
      <w:r w:rsidRPr="008D614C">
        <w:rPr>
          <w:rFonts w:ascii="Times" w:hAnsi="Times"/>
          <w:color w:val="000000" w:themeColor="text1"/>
          <w:sz w:val="28"/>
        </w:rPr>
        <w:t xml:space="preserve">, </w:t>
      </w:r>
      <w:r w:rsidRPr="008D614C">
        <w:rPr>
          <w:rFonts w:ascii="TimesNewRoman" w:hAnsi="TimesNewRoman"/>
          <w:color w:val="000000" w:themeColor="text1"/>
          <w:sz w:val="26"/>
        </w:rPr>
        <w:t>методы управления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Организация управления производственным риском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159A2583" w14:textId="77777777" w:rsidR="008D614C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Риски неисполнения хозяйственных договоров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Риски усиления конкуренции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Риски возникновения непредвиденных расходов и сокращение доходов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Риски потери имущества предпринимательской организации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 xml:space="preserve">Риск </w:t>
      </w:r>
      <w:proofErr w:type="spellStart"/>
      <w:r w:rsidRPr="008D614C">
        <w:rPr>
          <w:rFonts w:ascii="TimesNewRoman" w:hAnsi="TimesNewRoman"/>
          <w:color w:val="000000" w:themeColor="text1"/>
          <w:sz w:val="26"/>
        </w:rPr>
        <w:t>невостребованности</w:t>
      </w:r>
      <w:proofErr w:type="spellEnd"/>
      <w:r w:rsidRPr="008D614C">
        <w:rPr>
          <w:rFonts w:ascii="TimesNewRoman" w:hAnsi="TimesNewRoman"/>
          <w:color w:val="000000" w:themeColor="text1"/>
          <w:sz w:val="26"/>
        </w:rPr>
        <w:t xml:space="preserve"> продукции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Промышленная безопасность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606E9C58" w14:textId="5EEE6643" w:rsidR="001B0C24" w:rsidRPr="008D614C" w:rsidRDefault="008D614C" w:rsidP="008D614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357"/>
        <w:rPr>
          <w:rFonts w:ascii="Times" w:hAnsi="Times"/>
          <w:color w:val="000000" w:themeColor="text1"/>
          <w:sz w:val="28"/>
        </w:rPr>
      </w:pPr>
      <w:r w:rsidRPr="008D614C">
        <w:rPr>
          <w:rFonts w:ascii="TimesNewRoman" w:hAnsi="TimesNewRoman"/>
          <w:color w:val="000000" w:themeColor="text1"/>
          <w:sz w:val="26"/>
        </w:rPr>
        <w:t>Управление рисками в промышленности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  <w:r w:rsidRPr="008D614C">
        <w:rPr>
          <w:rFonts w:ascii="TimesNewRoman" w:hAnsi="TimesNewRoman"/>
          <w:color w:val="000000" w:themeColor="text1"/>
          <w:sz w:val="26"/>
        </w:rPr>
        <w:t>Модели оценки производственных рисков</w:t>
      </w:r>
      <w:r w:rsidRPr="008D614C">
        <w:rPr>
          <w:rFonts w:ascii="Times" w:hAnsi="Times"/>
          <w:color w:val="000000" w:themeColor="text1"/>
          <w:sz w:val="28"/>
        </w:rPr>
        <w:t xml:space="preserve">. </w:t>
      </w:r>
    </w:p>
    <w:p w14:paraId="393F7190" w14:textId="77777777" w:rsidR="001B0C24" w:rsidRPr="008D614C" w:rsidRDefault="001B0C24"/>
    <w:p w14:paraId="737B7E33" w14:textId="61ED26A2" w:rsidR="001B0C24" w:rsidRDefault="001B0C24" w:rsidP="001B0C2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6325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Примерный перечень тестовых заданий</w:t>
      </w:r>
    </w:p>
    <w:p w14:paraId="61EFFEF3" w14:textId="77777777" w:rsidR="008D614C" w:rsidRPr="00F6325D" w:rsidRDefault="008D614C" w:rsidP="001B0C2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3A551B4" w14:textId="77777777" w:rsidR="001B0C24" w:rsidRPr="00F6325D" w:rsidRDefault="001B0C24" w:rsidP="001B0C2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32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60A12F6B" w14:textId="0DC88D9B" w:rsidR="001B0C24" w:rsidRPr="000542ED" w:rsidRDefault="001B0C24" w:rsidP="001B0C24">
      <w:pPr>
        <w:shd w:val="clear" w:color="auto" w:fill="FFFFFF"/>
        <w:rPr>
          <w:rFonts w:ascii="TimesNewRomanPSMT" w:eastAsia="Times New Roman" w:hAnsi="TimesNewRomanPSMT" w:cs="Times New Roman"/>
          <w:b/>
          <w:bCs/>
          <w:lang w:eastAsia="ru-RU"/>
        </w:rPr>
      </w:pPr>
    </w:p>
    <w:p w14:paraId="7D3FBA4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No1. В зависимости от уровня вероятности все риски можно разделить на </w:t>
      </w:r>
    </w:p>
    <w:p w14:paraId="0A38E05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4303F14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индивидуальные и портфельные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постоянные и переменные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специфические и рыночные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прогнозируемые и непрогнозируемые </w:t>
      </w:r>
    </w:p>
    <w:p w14:paraId="094C120E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страхуемые и не страхуемые </w:t>
      </w:r>
    </w:p>
    <w:p w14:paraId="465D4DB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внутренние и внешние</w:t>
      </w:r>
    </w:p>
    <w:p w14:paraId="047B734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высоковероятные и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низковероятные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F0104D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23747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No2. Бизнес-риск— это </w:t>
      </w:r>
    </w:p>
    <w:p w14:paraId="2C38A4B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1414015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Риск потери финансовой устойчивости</w:t>
      </w:r>
    </w:p>
    <w:p w14:paraId="5E84EA1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Риск невозможности поддерживать уровень дохода на акцию на не снижающемся уровне </w:t>
      </w:r>
    </w:p>
    <w:p w14:paraId="2C15024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Риск снижения деловой привлекательности</w:t>
      </w:r>
    </w:p>
    <w:p w14:paraId="3D05C8D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Риск несвоевременного завершения строительных работ </w:t>
      </w:r>
    </w:p>
    <w:p w14:paraId="21F6D8E4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EB752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No3. В зависимости от возможности прогнозирования все риски можно разделить на </w:t>
      </w:r>
    </w:p>
    <w:p w14:paraId="04FB0AB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2DD7511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индивидуальные и портфельные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постоянные и переменные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специфические и рыночные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прогнозируемые и непрогнозируемые 5. страхуемые и не страхуемые </w:t>
      </w:r>
    </w:p>
    <w:p w14:paraId="384DEEAA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внутренние и внешние </w:t>
      </w:r>
    </w:p>
    <w:p w14:paraId="20C9C26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нет правильного ответа </w:t>
      </w:r>
    </w:p>
    <w:p w14:paraId="7733D0A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D9158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No4. Неопределенность финансовой среды предпринимательства не определяется фактором </w:t>
      </w:r>
    </w:p>
    <w:p w14:paraId="381AA033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7080900D" w14:textId="61615ED7" w:rsidR="008D614C" w:rsidRPr="008D614C" w:rsidRDefault="008D614C" w:rsidP="008D614C">
      <w:pPr>
        <w:shd w:val="clear" w:color="auto" w:fill="FFFFFF"/>
        <w:tabs>
          <w:tab w:val="num" w:pos="36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отсутствия полной и достоверной информации об окружающей среде </w:t>
      </w:r>
    </w:p>
    <w:p w14:paraId="0F234686" w14:textId="760F8707" w:rsidR="008D614C" w:rsidRPr="008D614C" w:rsidRDefault="008D614C" w:rsidP="008D614C">
      <w:pPr>
        <w:shd w:val="clear" w:color="auto" w:fill="FFFFFF"/>
        <w:tabs>
          <w:tab w:val="num" w:pos="36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недостаточной техноло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гической базы для осуществления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предпринимательской деятельности </w:t>
      </w:r>
    </w:p>
    <w:p w14:paraId="575549A3" w14:textId="27D3D12F" w:rsidR="008D614C" w:rsidRPr="008D614C" w:rsidRDefault="008D614C" w:rsidP="008D614C">
      <w:pPr>
        <w:shd w:val="clear" w:color="auto" w:fill="FFFFFF"/>
        <w:tabs>
          <w:tab w:val="num" w:pos="36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случайности проявления неблагоприятных событий в процессе предпринимательской деятельности </w:t>
      </w:r>
    </w:p>
    <w:p w14:paraId="7DF6CC93" w14:textId="249BA2AE" w:rsidR="008D614C" w:rsidRPr="008D614C" w:rsidRDefault="008D614C" w:rsidP="008D614C">
      <w:pPr>
        <w:shd w:val="clear" w:color="auto" w:fill="FFFFFF"/>
        <w:tabs>
          <w:tab w:val="num" w:pos="36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ограниченной способности предпринимателя воспринимать и перерабатывать поступающую </w:t>
      </w:r>
    </w:p>
    <w:p w14:paraId="001325D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</w:t>
      </w:r>
    </w:p>
    <w:p w14:paraId="799FFF2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0AC4E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No5. К основным формам финансового риск-анализа не относят </w:t>
      </w:r>
    </w:p>
    <w:p w14:paraId="5F305CB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5D616B96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 Внутренний финансовый риск-анализ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Предварительный финансовый риск-анализ </w:t>
      </w:r>
    </w:p>
    <w:p w14:paraId="7D693F8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Качественный финансовый риск-анализ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Совмещенный финансовый риск-анализ </w:t>
      </w:r>
    </w:p>
    <w:p w14:paraId="49B7A07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9407DE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No6. Банковский риск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неликвидности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рассматривается в двух направлениях </w:t>
      </w:r>
    </w:p>
    <w:p w14:paraId="5DFE952E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0AADF52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риск ликвидности и риск платежеспособности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риск недостаточной ликвидности и риски излишней ликвидности </w:t>
      </w:r>
    </w:p>
    <w:p w14:paraId="4EA1D0A6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риск абсолютной ликвидности и риск относительной ликвидности </w:t>
      </w:r>
    </w:p>
    <w:p w14:paraId="30CE4C1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49FBB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No7.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Страновой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риск - это </w:t>
      </w:r>
    </w:p>
    <w:p w14:paraId="324BD61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2260BBAC" w14:textId="3D161A92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вероятность того, что страна, в которой размещены активы компании, перестанет отвечать по своим обязательствам </w:t>
      </w:r>
    </w:p>
    <w:p w14:paraId="740C795E" w14:textId="31D5A7B1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риск того, что государство активизирует процессы приватизации </w:t>
      </w:r>
    </w:p>
    <w:p w14:paraId="1D98FAB8" w14:textId="6C5988F2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риск, связанный с инвестиционной привлекательностью государства для зарубежных инвестиций </w:t>
      </w:r>
    </w:p>
    <w:p w14:paraId="10D72A28" w14:textId="11BF7CE1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риск увеличения налоговой нагрузки на частный бизнес </w:t>
      </w:r>
    </w:p>
    <w:p w14:paraId="2978F4A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4FA13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No8. Какой из перечисленных ниже ученых внес существенный вклад в развитие категории предпринимательских рисков </w:t>
      </w:r>
    </w:p>
    <w:p w14:paraId="29E95576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77806176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А. Смит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Дж. М.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Кейнс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Й.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Шумпетер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А. Маршалл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Все ответы верны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6. Нет правильного ответа </w:t>
      </w:r>
    </w:p>
    <w:p w14:paraId="1327E4A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7BAD03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No9. </w:t>
      </w:r>
    </w:p>
    <w:p w14:paraId="2FA93DD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Несистематическим (диверсифицируемым) риском является </w:t>
      </w:r>
    </w:p>
    <w:p w14:paraId="0AB5E40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7EF9BD9A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инфляционный риск </w:t>
      </w:r>
    </w:p>
    <w:p w14:paraId="4DEBADB6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процентный риск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проектный риск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налоговый риск </w:t>
      </w:r>
    </w:p>
    <w:p w14:paraId="475286A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No10. Согласно неоклассической теории компания при осуществлении своей финансово- экономической деятельности должна руководствоваться следующими критериями </w:t>
      </w:r>
    </w:p>
    <w:p w14:paraId="4405403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187E3024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размером ожидаемой выручки и ее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колеблемостью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C098F99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размером ожидаемой прибыли и ее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колеблемостью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5D6B51A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размером возможных убытков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размером упущенной выгоды </w:t>
      </w:r>
    </w:p>
    <w:p w14:paraId="28EE7C1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1B496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No11. Согласно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кейнсианской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теории риска при выборе из альтернативных проектов следует руководствоваться </w:t>
      </w:r>
    </w:p>
    <w:p w14:paraId="11DD0151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668839A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Размерами потенциально возможной упущенной выгоды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Наименьшим возможным уровнем потерь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Соотношением между доходностью и показателями инвестиционного риска 4. Все ответы верны </w:t>
      </w:r>
    </w:p>
    <w:p w14:paraId="13194CA3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9DB1D3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No12. Интегральный финансовый анализ включает в себя </w:t>
      </w: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Тип ответа: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Многие из многих </w:t>
      </w:r>
    </w:p>
    <w:p w14:paraId="58BBD6B9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392966B3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Количественный SWOT-анализ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Система анализа по модели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DuPont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главным контрольным показателем ROE 3. Объектно-ориентированная система финансового анализа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Метод 635 </w:t>
      </w:r>
    </w:p>
    <w:p w14:paraId="0455C5A9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C95B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No13. В процессе прогнозирования основных показателей долгосрочного финансового плана предприятия используются следующие основные методы </w:t>
      </w:r>
    </w:p>
    <w:p w14:paraId="5157BB6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2DBE6F23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Метод корреляционного моделирования и методы оптимизационного моделирования. </w:t>
      </w:r>
    </w:p>
    <w:p w14:paraId="7DBA551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Метод многофакторной регрессии и метод дисконтирования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Метод нечеткой логики и методы сравнения.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Метод бинарной логики и метод скользящих средних. </w:t>
      </w:r>
    </w:p>
    <w:p w14:paraId="705E9F0E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08BE5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No14. Как называются риски, в результате реализации которых предприятию грозит потеря прибыли </w:t>
      </w:r>
    </w:p>
    <w:p w14:paraId="5F7A085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679F90A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катастрофическими 2. критическими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допустимыми </w:t>
      </w:r>
    </w:p>
    <w:p w14:paraId="761AC21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No15. </w:t>
      </w:r>
    </w:p>
    <w:p w14:paraId="7B95B86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перечисленных ниже принципов выберете те, которые относятся к принципам построения системы финансового риск-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контроллинга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9D17BBA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Тип ответа: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Многие из многих </w:t>
      </w:r>
    </w:p>
    <w:p w14:paraId="34845CB9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54E5E9FE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Экономичность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Своевременность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Ангажированность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Многофункциональность </w:t>
      </w:r>
    </w:p>
    <w:p w14:paraId="134E856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Простота построения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Схематичность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7. Гибкость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8. Информационность </w:t>
      </w:r>
    </w:p>
    <w:p w14:paraId="465F6E0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0C8DD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No16.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Какои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̆ метод не является методом экспертной оценки </w:t>
      </w:r>
    </w:p>
    <w:p w14:paraId="3AAAF4C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4B7E726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Мозговой штурм </w:t>
      </w:r>
    </w:p>
    <w:p w14:paraId="4CF7C504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Метод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Дельфи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84DFDF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Метод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Фулмера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3160DC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Интервью </w:t>
      </w:r>
    </w:p>
    <w:p w14:paraId="401B8BF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D4980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No17. Создание финансового норматива «предельный размер заемных средств, используемых в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хозяйственнои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̆ деятельности" это мера </w:t>
      </w:r>
    </w:p>
    <w:p w14:paraId="25D951E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1D290E6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Диверсификации </w:t>
      </w:r>
    </w:p>
    <w:p w14:paraId="4B19367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Лимитирования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14B58E9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Избежания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Страхования </w:t>
      </w:r>
    </w:p>
    <w:p w14:paraId="629EA8C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BDB4BA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No18. Отказ от чрезмерного использования оборотных активов в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низколиквидных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формах это мера </w:t>
      </w:r>
    </w:p>
    <w:p w14:paraId="37CB4CF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0D5564D9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Диверсификации </w:t>
      </w:r>
    </w:p>
    <w:p w14:paraId="200A91A1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Лимитирования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0819B3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Избегания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Страхования </w:t>
      </w:r>
    </w:p>
    <w:p w14:paraId="172B6824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46EF89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No19. Распределение риска между участниками лизинговой сделки - это метод </w:t>
      </w:r>
    </w:p>
    <w:p w14:paraId="77605F64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6B26EE8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лимитирования</w:t>
      </w:r>
      <w:proofErr w:type="spellEnd"/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рисков </w:t>
      </w:r>
    </w:p>
    <w:p w14:paraId="4F989D8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диверсификации рисков </w:t>
      </w:r>
    </w:p>
    <w:p w14:paraId="2CDF6B8E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трансферта рисков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избегания рисков </w:t>
      </w:r>
    </w:p>
    <w:p w14:paraId="122DEC9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D9698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No20.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чем состоит социально-экономическая функция риска </w:t>
      </w:r>
    </w:p>
    <w:p w14:paraId="5DB2BE6E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2D405FFF" w14:textId="1B3057E3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том, что в процессе рыночной деятельности риск и конкуренция позволяет выделить социальные группы эффективных собственников в общественных классах, а в экономике — отрасли деятельности, в которых риск приемлем </w:t>
      </w:r>
    </w:p>
    <w:p w14:paraId="19AF91E8" w14:textId="19BE5C8B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том, что реализация риска может обеспечить дополнительную по сравнению с плановой прибыль в случае благоприятного исхода </w:t>
      </w:r>
    </w:p>
    <w:p w14:paraId="7F7D23B4" w14:textId="5A00DC8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оба варианта верны </w:t>
      </w:r>
    </w:p>
    <w:p w14:paraId="7ECFB9F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C077C9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Вопрос No21</w:t>
      </w:r>
    </w:p>
    <w:p w14:paraId="01C04CD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Маржинальная прибыль рассчитывается как </w:t>
      </w:r>
    </w:p>
    <w:p w14:paraId="494F858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0AC26E34" w14:textId="6EE407FB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частн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 от деления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выручки и переменных издержек </w:t>
      </w:r>
    </w:p>
    <w:p w14:paraId="600A896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разница между выручкой и переменными издержками </w:t>
      </w:r>
    </w:p>
    <w:p w14:paraId="0F46C77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частное от деления выручки и постоянных издержек </w:t>
      </w:r>
    </w:p>
    <w:p w14:paraId="295F8BF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88FA6A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No22.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Прибыль (убыток) от продаж равна: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0EFB882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разнице между балансовой прибылью и управленческими расходами предприятия;</w:t>
      </w:r>
    </w:p>
    <w:p w14:paraId="62A228B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разнице между валовой прибылью и коммерческими и управленческими расходами предприятия; </w:t>
      </w:r>
    </w:p>
    <w:p w14:paraId="0201B0D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разнице между прибылью до налогообложения и величиной налоговых отчислений </w:t>
      </w:r>
    </w:p>
    <w:p w14:paraId="15E98A83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7380B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No23.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Рентабельность собственного капитала предприятия показывает </w:t>
      </w:r>
    </w:p>
    <w:p w14:paraId="591E7F2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0D26E04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величину прибыли с каждого рубля заемных средств;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величину прибыли с каждого рубля долгосрочных кредитов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эффективность использования акционерного капитала предприятия; </w:t>
      </w:r>
    </w:p>
    <w:p w14:paraId="277784C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2E610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No24. </w:t>
      </w:r>
    </w:p>
    <w:p w14:paraId="214BFD24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Рентабельность продаж показывает </w:t>
      </w:r>
    </w:p>
    <w:p w14:paraId="7B3B142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2480563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прирост активов организации;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величину резервного фонда.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долю валовой (чистой) прибыли в выручке предприятия; </w:t>
      </w:r>
    </w:p>
    <w:p w14:paraId="6A773066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88A566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No25. </w:t>
      </w:r>
    </w:p>
    <w:p w14:paraId="0A3E2CE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приростным затратам относят </w:t>
      </w:r>
    </w:p>
    <w:p w14:paraId="0E4E1EB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65FE4406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сбытовые и производственные затраты </w:t>
      </w:r>
    </w:p>
    <w:p w14:paraId="668494AF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переменные и полупостоянные затраты; </w:t>
      </w:r>
    </w:p>
    <w:p w14:paraId="0748FD1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коммерческие и управленческие затраты </w:t>
      </w:r>
    </w:p>
    <w:p w14:paraId="1622AE2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7F001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No26.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Анализ безубыточности основан на зависимости между следующими величинами </w:t>
      </w: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6233D6A9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доходами от продаж, издержками и прибылью в течение короткого периода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доходами от продаж, издержками и прибылью в течение длительного периода 3. издержками и прибылью в течение короткого периода </w:t>
      </w:r>
    </w:p>
    <w:p w14:paraId="79BEFCD7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F6B014" w14:textId="4EAE480D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No27. Назовите лишний методический инструментарий в рамках диверсификации подходов к у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чету фактора инфляции в процессе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финансового риск-менеджмента </w:t>
      </w:r>
    </w:p>
    <w:p w14:paraId="48CDBF5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1833334C" w14:textId="177A4935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Методический инструментарий формирования реальной процентной ставки с учетом инфляции </w:t>
      </w:r>
    </w:p>
    <w:p w14:paraId="7F439C49" w14:textId="1DEE9D51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Методический инструментарий оценки стоимости денежных средств с учетом фактора инфляции </w:t>
      </w:r>
    </w:p>
    <w:p w14:paraId="5FCF86C4" w14:textId="674761D6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етодический инструментарий формирования необходимого уровня доходности финансовых операций с учетом фактора инфляции </w:t>
      </w:r>
    </w:p>
    <w:p w14:paraId="3771FCEC" w14:textId="40454EED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Методический инструментарий формирования ключевой ставки с учетом инфляции </w:t>
      </w:r>
    </w:p>
    <w:p w14:paraId="2B00BCE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5BDB95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No28. Какого механизма хеджирования не существует </w:t>
      </w:r>
    </w:p>
    <w:p w14:paraId="1D03D206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6512914C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хеджирование фьючерсными контрактами </w:t>
      </w:r>
    </w:p>
    <w:p w14:paraId="145D04C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хеджирование с использованием опционов </w:t>
      </w:r>
    </w:p>
    <w:p w14:paraId="4F8C020E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хеджирование с использованием сквозного коносамента </w:t>
      </w:r>
    </w:p>
    <w:p w14:paraId="4937B7CA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хеджирование с использованием операции </w:t>
      </w:r>
    </w:p>
    <w:p w14:paraId="79929F04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EB461B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No29. Если операция хеджирована, то </w:t>
      </w:r>
    </w:p>
    <w:p w14:paraId="44ED31C8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5A9B936E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...ее доходность неизвестна, но риски по операции застрахованы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...ее доходность из неизвестной величины сразу превращается в известную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...возможный ущерб по операции становится известен заранее и фиксирован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...предприниматель сразу получает будущий доход, выплачивая премию за риск агенту рынка </w:t>
      </w:r>
    </w:p>
    <w:p w14:paraId="1D73D1A2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3DF23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No30. </w:t>
      </w:r>
    </w:p>
    <w:p w14:paraId="06812070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условий страхования риска является </w:t>
      </w:r>
    </w:p>
    <w:p w14:paraId="22C62C0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Варианты ответов: </w:t>
      </w:r>
    </w:p>
    <w:p w14:paraId="2794AD84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риск должен носить случайный характер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факт наступления риска должен быть заранее известен во времени</w:t>
      </w: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наступление страхового случая должно быть связано с волеизъявлением страхователя</w:t>
      </w:r>
    </w:p>
    <w:p w14:paraId="0DD15CAD" w14:textId="77777777" w:rsidR="008D614C" w:rsidRPr="008D614C" w:rsidRDefault="008D614C" w:rsidP="008D614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4. риск должен носить размер катастрофического бедствия </w:t>
      </w:r>
    </w:p>
    <w:p w14:paraId="51F47C33" w14:textId="02016A6B" w:rsidR="001B0C24" w:rsidRPr="001B0C24" w:rsidRDefault="001B0C24" w:rsidP="008D614C"/>
    <w:sectPr w:rsidR="001B0C24" w:rsidRPr="001B0C24" w:rsidSect="005065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37D"/>
    <w:multiLevelType w:val="hybridMultilevel"/>
    <w:tmpl w:val="9CD6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0E8A"/>
    <w:multiLevelType w:val="multilevel"/>
    <w:tmpl w:val="E9285E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33A44"/>
    <w:multiLevelType w:val="multilevel"/>
    <w:tmpl w:val="0240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C1DD9"/>
    <w:multiLevelType w:val="multilevel"/>
    <w:tmpl w:val="6942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66A9F"/>
    <w:multiLevelType w:val="multilevel"/>
    <w:tmpl w:val="36FA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BE4D9D"/>
    <w:multiLevelType w:val="multilevel"/>
    <w:tmpl w:val="9594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70944"/>
    <w:multiLevelType w:val="hybridMultilevel"/>
    <w:tmpl w:val="962E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519A9"/>
    <w:multiLevelType w:val="multilevel"/>
    <w:tmpl w:val="185490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7F2A55"/>
    <w:multiLevelType w:val="multilevel"/>
    <w:tmpl w:val="67BA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A7680E"/>
    <w:multiLevelType w:val="multilevel"/>
    <w:tmpl w:val="6CA0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21FA4"/>
    <w:multiLevelType w:val="multilevel"/>
    <w:tmpl w:val="07C2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B610AD"/>
    <w:multiLevelType w:val="hybridMultilevel"/>
    <w:tmpl w:val="01DEEF7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7EE730BB"/>
    <w:multiLevelType w:val="multilevel"/>
    <w:tmpl w:val="6372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B1"/>
    <w:rsid w:val="000542ED"/>
    <w:rsid w:val="001B0C24"/>
    <w:rsid w:val="001D284C"/>
    <w:rsid w:val="00233470"/>
    <w:rsid w:val="002A1AB1"/>
    <w:rsid w:val="003A19CC"/>
    <w:rsid w:val="003B5265"/>
    <w:rsid w:val="004E7413"/>
    <w:rsid w:val="0050652D"/>
    <w:rsid w:val="006D10FB"/>
    <w:rsid w:val="00815141"/>
    <w:rsid w:val="008D614C"/>
    <w:rsid w:val="009549C2"/>
    <w:rsid w:val="00D5655C"/>
    <w:rsid w:val="00EC215B"/>
    <w:rsid w:val="00F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FAD8"/>
  <w15:docId w15:val="{16F934C1-AC38-425B-A309-3025BF2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A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2A1A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0542ED"/>
    <w:pPr>
      <w:ind w:left="720"/>
      <w:contextualSpacing/>
    </w:pPr>
  </w:style>
  <w:style w:type="table" w:styleId="a5">
    <w:name w:val="Table Grid"/>
    <w:basedOn w:val="a1"/>
    <w:uiPriority w:val="39"/>
    <w:rsid w:val="0005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0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6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7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Панферова Мария Алексеевна</cp:lastModifiedBy>
  <cp:revision>2</cp:revision>
  <dcterms:created xsi:type="dcterms:W3CDTF">2026-05-28T13:01:00Z</dcterms:created>
  <dcterms:modified xsi:type="dcterms:W3CDTF">2026-05-28T13:01:00Z</dcterms:modified>
</cp:coreProperties>
</file>