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7E8370" w14:textId="77777777" w:rsidR="00F831BC" w:rsidRPr="00F831BC" w:rsidRDefault="00F831BC" w:rsidP="00F831BC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831B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Примерные оценночные материалы, применняемые при проведении промежуточной аттестации по дисциплине (модулю)</w:t>
      </w:r>
    </w:p>
    <w:p w14:paraId="138536AF" w14:textId="77777777" w:rsidR="00F831BC" w:rsidRPr="00F831BC" w:rsidRDefault="00F831BC" w:rsidP="00F831BC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352CAB07" w14:textId="25D4F9AF" w:rsidR="00F831BC" w:rsidRDefault="00F831BC" w:rsidP="00F831BC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Риск-менеджмент</w:t>
      </w:r>
    </w:p>
    <w:p w14:paraId="7AC00C9A" w14:textId="77777777" w:rsidR="00F831BC" w:rsidRDefault="00F831BC" w:rsidP="00F831BC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6DAECBDD" w14:textId="6ECAA043" w:rsidR="00F831BC" w:rsidRPr="00F831BC" w:rsidRDefault="00F831BC" w:rsidP="00F831BC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831B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При проведении промежуточной аттестации обучающемуся предлагается дать ответы на 2 вопроса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F831B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из нижеприведенного списка.</w:t>
      </w:r>
    </w:p>
    <w:p w14:paraId="65A5A76B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Сущность риска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основные элементы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причины возникновения</w:t>
      </w:r>
      <w:r>
        <w:rPr>
          <w:rFonts w:ascii="Times" w:hAnsi="Times"/>
        </w:rPr>
        <w:t xml:space="preserve">. </w:t>
      </w:r>
    </w:p>
    <w:p w14:paraId="1F149222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Объекты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Общая характеристика и структура объектов риска</w:t>
      </w:r>
      <w:r>
        <w:rPr>
          <w:rFonts w:ascii="Times" w:hAnsi="Times"/>
        </w:rPr>
        <w:t xml:space="preserve">. </w:t>
      </w:r>
    </w:p>
    <w:p w14:paraId="7336E928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Субъекты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Общая характеристика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Виды отношений между субъектами и объектами риска</w:t>
      </w:r>
      <w:r>
        <w:rPr>
          <w:rFonts w:ascii="Times" w:hAnsi="Times"/>
        </w:rPr>
        <w:t xml:space="preserve">. </w:t>
      </w:r>
    </w:p>
    <w:p w14:paraId="1C9B9653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Факторы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Внутренние и внешние факторы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Виды ущерба от риска</w:t>
      </w:r>
      <w:r>
        <w:rPr>
          <w:rFonts w:ascii="Times" w:hAnsi="Times"/>
        </w:rPr>
        <w:t xml:space="preserve">. </w:t>
      </w:r>
    </w:p>
    <w:p w14:paraId="17E2AC1F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Построение моделей ситуации риска</w:t>
      </w:r>
      <w:r>
        <w:rPr>
          <w:rFonts w:ascii="Times" w:hAnsi="Times"/>
        </w:rPr>
        <w:t xml:space="preserve">. </w:t>
      </w:r>
    </w:p>
    <w:p w14:paraId="6DF1DD0D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Причины возникновения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Классификация рисков</w:t>
      </w:r>
      <w:r>
        <w:rPr>
          <w:rFonts w:ascii="Times" w:hAnsi="Times"/>
        </w:rPr>
        <w:t xml:space="preserve">. </w:t>
      </w:r>
    </w:p>
    <w:p w14:paraId="72BA39F9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Характеристика системы управления рисками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Суть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причины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процедуры и форма управления рисками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Задачи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решаемые при управлении рисками</w:t>
      </w:r>
      <w:r>
        <w:rPr>
          <w:rFonts w:ascii="Times" w:hAnsi="Times"/>
        </w:rPr>
        <w:t xml:space="preserve">. </w:t>
      </w:r>
    </w:p>
    <w:p w14:paraId="6D4F0834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Концепция приемлемого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Связь приемлемого риска с экономическим циклом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циклом жизни компании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продуктовым циклом</w:t>
      </w:r>
      <w:r>
        <w:rPr>
          <w:rFonts w:ascii="Times" w:hAnsi="Times"/>
        </w:rPr>
        <w:t xml:space="preserve">. </w:t>
      </w:r>
    </w:p>
    <w:p w14:paraId="0BFAB1BF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Основные принципы управления риском</w:t>
      </w:r>
      <w:r>
        <w:rPr>
          <w:rFonts w:ascii="Times" w:hAnsi="Times"/>
        </w:rPr>
        <w:t xml:space="preserve">. </w:t>
      </w:r>
    </w:p>
    <w:p w14:paraId="2B81B3CC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Этапы процесса управления риском</w:t>
      </w:r>
      <w:r>
        <w:rPr>
          <w:rFonts w:ascii="Times" w:hAnsi="Times"/>
        </w:rPr>
        <w:t xml:space="preserve">. </w:t>
      </w:r>
    </w:p>
    <w:p w14:paraId="29DB508F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Источники финансирования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Структура затрат при различных методах управления риском</w:t>
      </w:r>
      <w:r>
        <w:rPr>
          <w:rFonts w:ascii="Times" w:hAnsi="Times"/>
        </w:rPr>
        <w:t xml:space="preserve">. </w:t>
      </w:r>
    </w:p>
    <w:p w14:paraId="5DAE414F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 xml:space="preserve">Анализ эффективности методов управления риском </w:t>
      </w:r>
      <w:r>
        <w:rPr>
          <w:rFonts w:ascii="Times" w:hAnsi="Times"/>
        </w:rPr>
        <w:t xml:space="preserve">- </w:t>
      </w:r>
      <w:r>
        <w:rPr>
          <w:rFonts w:ascii="TimesNewRoman" w:hAnsi="TimesNewRoman"/>
        </w:rPr>
        <w:t>общие подходы экономические критерии</w:t>
      </w:r>
      <w:r>
        <w:rPr>
          <w:rFonts w:ascii="Times" w:hAnsi="Times"/>
        </w:rPr>
        <w:t xml:space="preserve">. </w:t>
      </w:r>
    </w:p>
    <w:p w14:paraId="010C58DB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Статистические и вероятностные методы оценки риска</w:t>
      </w:r>
      <w:r>
        <w:rPr>
          <w:rFonts w:ascii="Times" w:hAnsi="Times"/>
        </w:rPr>
        <w:t xml:space="preserve">. </w:t>
      </w:r>
    </w:p>
    <w:p w14:paraId="51B98547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Построение выборочных функций распределения для оценки рисков</w:t>
      </w:r>
      <w:r>
        <w:rPr>
          <w:rFonts w:ascii="Times" w:hAnsi="Times"/>
        </w:rPr>
        <w:t xml:space="preserve">. </w:t>
      </w:r>
    </w:p>
    <w:p w14:paraId="553AC5B7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Использование распределений Пуассона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Бернулли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Гаусса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Больцмана для оценки риска</w:t>
      </w:r>
      <w:r>
        <w:rPr>
          <w:rFonts w:ascii="Times" w:hAnsi="Times"/>
        </w:rPr>
        <w:t xml:space="preserve">. </w:t>
      </w:r>
    </w:p>
    <w:p w14:paraId="4ABFE960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Роль и место нормального распределения в оценке риска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правило трех сигм в оценке риска</w:t>
      </w:r>
      <w:r>
        <w:rPr>
          <w:rFonts w:ascii="Times" w:hAnsi="Times"/>
        </w:rPr>
        <w:t xml:space="preserve">. </w:t>
      </w:r>
    </w:p>
    <w:p w14:paraId="3F68F74B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Оценки риска с помощью метода Монте</w:t>
      </w:r>
      <w:r>
        <w:rPr>
          <w:rFonts w:ascii="Times" w:hAnsi="Times"/>
        </w:rPr>
        <w:t>-</w:t>
      </w:r>
      <w:r>
        <w:rPr>
          <w:rFonts w:ascii="TimesNewRoman" w:hAnsi="TimesNewRoman"/>
        </w:rPr>
        <w:t>Карло</w:t>
      </w:r>
      <w:r>
        <w:rPr>
          <w:rFonts w:ascii="Times" w:hAnsi="Times"/>
        </w:rPr>
        <w:t xml:space="preserve">. </w:t>
      </w:r>
    </w:p>
    <w:p w14:paraId="38E3D5E8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Использование дерева решений для оценки рисков</w:t>
      </w:r>
      <w:r>
        <w:rPr>
          <w:rFonts w:ascii="Times" w:hAnsi="Times"/>
        </w:rPr>
        <w:t xml:space="preserve">. </w:t>
      </w:r>
    </w:p>
    <w:p w14:paraId="17920112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Моделирование случайных блужданий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процесс Винера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процесс Ито</w:t>
      </w:r>
      <w:r>
        <w:rPr>
          <w:rFonts w:ascii="Times" w:hAnsi="Times"/>
        </w:rPr>
        <w:t xml:space="preserve">. </w:t>
      </w:r>
    </w:p>
    <w:p w14:paraId="573FD692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Построение матрицы решений и оценка риск-содержащих стратегий</w:t>
      </w:r>
      <w:r>
        <w:rPr>
          <w:rFonts w:ascii="Times" w:hAnsi="Times"/>
        </w:rPr>
        <w:t xml:space="preserve">. </w:t>
      </w:r>
    </w:p>
    <w:p w14:paraId="4717805F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Моделирование поведения риск-содержащих объектов через модели случайного блуждания</w:t>
      </w:r>
      <w:r>
        <w:rPr>
          <w:rFonts w:ascii="Times" w:hAnsi="Times"/>
        </w:rPr>
        <w:t xml:space="preserve">. </w:t>
      </w:r>
    </w:p>
    <w:p w14:paraId="6BA4947A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Использование биномиальной модели для оценки рисков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 xml:space="preserve">ценность под риском </w:t>
      </w:r>
      <w:r>
        <w:rPr>
          <w:rFonts w:ascii="Times" w:hAnsi="Times"/>
        </w:rPr>
        <w:t>(</w:t>
      </w:r>
      <w:proofErr w:type="spellStart"/>
      <w:r>
        <w:rPr>
          <w:rFonts w:ascii="Times" w:hAnsi="Times"/>
        </w:rPr>
        <w:t>value</w:t>
      </w:r>
      <w:proofErr w:type="spellEnd"/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at</w:t>
      </w:r>
      <w:proofErr w:type="spellEnd"/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risk</w:t>
      </w:r>
      <w:proofErr w:type="spellEnd"/>
      <w:r>
        <w:rPr>
          <w:rFonts w:ascii="Times" w:hAnsi="Times"/>
        </w:rPr>
        <w:t xml:space="preserve"> (</w:t>
      </w:r>
      <w:proofErr w:type="spellStart"/>
      <w:r>
        <w:rPr>
          <w:rFonts w:ascii="Times" w:hAnsi="Times"/>
        </w:rPr>
        <w:t>VaR</w:t>
      </w:r>
      <w:proofErr w:type="spellEnd"/>
      <w:r>
        <w:rPr>
          <w:rFonts w:ascii="Times" w:hAnsi="Times"/>
        </w:rPr>
        <w:t xml:space="preserve">)). </w:t>
      </w:r>
    </w:p>
    <w:p w14:paraId="23E0EF9A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Методы построения профилей рисков</w:t>
      </w:r>
      <w:r>
        <w:rPr>
          <w:rFonts w:ascii="Times" w:hAnsi="Times"/>
        </w:rPr>
        <w:t xml:space="preserve">. </w:t>
      </w:r>
    </w:p>
    <w:p w14:paraId="0754B45A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Специальные методы оценки рисков</w:t>
      </w:r>
      <w:r>
        <w:rPr>
          <w:rFonts w:ascii="Times" w:hAnsi="Times"/>
        </w:rPr>
        <w:t xml:space="preserve">. </w:t>
      </w:r>
    </w:p>
    <w:p w14:paraId="57978629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Экспертные методы оценки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Устойчивость экспертных оценок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Методы определения согласованности экспертных оценок</w:t>
      </w:r>
      <w:r>
        <w:rPr>
          <w:rFonts w:ascii="Times" w:hAnsi="Times"/>
        </w:rPr>
        <w:t xml:space="preserve">. </w:t>
      </w:r>
    </w:p>
    <w:p w14:paraId="6B02A5D6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Способы формализации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Особенности выделения будущих состояний экономики при анализе ситуации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Исходные положения при анализе ситуации риска</w:t>
      </w:r>
      <w:r>
        <w:rPr>
          <w:rFonts w:ascii="Times" w:hAnsi="Times"/>
        </w:rPr>
        <w:t xml:space="preserve">. </w:t>
      </w:r>
    </w:p>
    <w:p w14:paraId="5FA105DD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Формализация ситуации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Концепции выбора управленческого решения в условиях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 xml:space="preserve">Формализация принципа выбора риск-содержащих стратегий </w:t>
      </w:r>
      <w:proofErr w:type="spellStart"/>
      <w:r>
        <w:rPr>
          <w:rFonts w:ascii="TimesNewRoman" w:hAnsi="TimesNewRoman"/>
        </w:rPr>
        <w:t>рискофобом</w:t>
      </w:r>
      <w:proofErr w:type="spellEnd"/>
      <w:r>
        <w:rPr>
          <w:rFonts w:ascii="Times" w:hAnsi="Times"/>
        </w:rPr>
        <w:t xml:space="preserve">, </w:t>
      </w:r>
      <w:proofErr w:type="spellStart"/>
      <w:r>
        <w:rPr>
          <w:rFonts w:ascii="TimesNewRoman" w:hAnsi="TimesNewRoman"/>
        </w:rPr>
        <w:t>рискофилом</w:t>
      </w:r>
      <w:proofErr w:type="spellEnd"/>
      <w:r>
        <w:rPr>
          <w:rFonts w:ascii="TimesNewRoman" w:hAnsi="TimesNewRoman"/>
        </w:rPr>
        <w:t xml:space="preserve"> и нейтральным к риску субъектом</w:t>
      </w:r>
      <w:r>
        <w:rPr>
          <w:rFonts w:ascii="Times" w:hAnsi="Times"/>
        </w:rPr>
        <w:t xml:space="preserve">. </w:t>
      </w:r>
    </w:p>
    <w:p w14:paraId="3F6AEAB1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lastRenderedPageBreak/>
        <w:t>Выбор стратегии с учетом риска в форме среднеквадратического отклонения</w:t>
      </w:r>
      <w:r>
        <w:rPr>
          <w:rFonts w:ascii="Times" w:hAnsi="Times"/>
        </w:rPr>
        <w:t xml:space="preserve">: </w:t>
      </w:r>
      <w:r>
        <w:rPr>
          <w:rFonts w:ascii="TimesNewRoman" w:hAnsi="TimesNewRoman"/>
        </w:rPr>
        <w:t>безусловное доминирование</w:t>
      </w:r>
      <w:r>
        <w:rPr>
          <w:rFonts w:ascii="Times" w:hAnsi="Times"/>
        </w:rPr>
        <w:t xml:space="preserve">; </w:t>
      </w:r>
      <w:r>
        <w:rPr>
          <w:rFonts w:ascii="TimesNewRoman" w:hAnsi="TimesNewRoman"/>
        </w:rPr>
        <w:t>использование функции рискового предпочтения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использование функции ожидаемой полезности</w:t>
      </w:r>
      <w:r>
        <w:rPr>
          <w:rFonts w:ascii="Times" w:hAnsi="Times"/>
        </w:rPr>
        <w:t xml:space="preserve">; </w:t>
      </w:r>
      <w:r>
        <w:rPr>
          <w:rFonts w:ascii="TimesNewRoman" w:hAnsi="TimesNewRoman"/>
        </w:rPr>
        <w:t>критерии минимакса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критерии выбора рискового варианта в условиях неопределенности в рамках теории игр</w:t>
      </w:r>
      <w:r>
        <w:rPr>
          <w:rFonts w:ascii="Times" w:hAnsi="Times"/>
        </w:rPr>
        <w:t xml:space="preserve">: </w:t>
      </w:r>
      <w:r>
        <w:rPr>
          <w:rFonts w:ascii="TimesNewRoman" w:hAnsi="TimesNewRoman"/>
        </w:rPr>
        <w:t>методы Лапласа</w:t>
      </w:r>
      <w:r>
        <w:rPr>
          <w:rFonts w:ascii="Times" w:hAnsi="Times"/>
        </w:rPr>
        <w:t xml:space="preserve">, </w:t>
      </w:r>
      <w:proofErr w:type="spellStart"/>
      <w:r>
        <w:rPr>
          <w:rFonts w:ascii="TimesNewRoman" w:hAnsi="TimesNewRoman"/>
        </w:rPr>
        <w:t>Вальда</w:t>
      </w:r>
      <w:proofErr w:type="spellEnd"/>
      <w:r>
        <w:rPr>
          <w:rFonts w:ascii="Times" w:hAnsi="Times"/>
        </w:rPr>
        <w:t xml:space="preserve">, </w:t>
      </w:r>
      <w:proofErr w:type="spellStart"/>
      <w:r>
        <w:rPr>
          <w:rFonts w:ascii="TimesNewRoman" w:hAnsi="TimesNewRoman"/>
        </w:rPr>
        <w:t>Сэвиджа</w:t>
      </w:r>
      <w:proofErr w:type="spellEnd"/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Гурвица</w:t>
      </w:r>
      <w:r>
        <w:rPr>
          <w:rFonts w:ascii="Times" w:hAnsi="Times"/>
        </w:rPr>
        <w:t xml:space="preserve">. </w:t>
      </w:r>
    </w:p>
    <w:p w14:paraId="03BA685D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Особенности моделирования риск-содержащих событий с помощью метода Монте</w:t>
      </w:r>
      <w:r>
        <w:rPr>
          <w:rFonts w:ascii="Times" w:hAnsi="Times"/>
        </w:rPr>
        <w:t>-</w:t>
      </w:r>
      <w:r>
        <w:rPr>
          <w:rFonts w:ascii="TimesNewRoman" w:hAnsi="TimesNewRoman"/>
        </w:rPr>
        <w:t>Карло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Особенность применения процессов блуждания при моделировании экономических рисков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Учет рисковых факторов в имитационных моделях</w:t>
      </w:r>
      <w:r>
        <w:rPr>
          <w:rFonts w:ascii="Times" w:hAnsi="Times"/>
        </w:rPr>
        <w:t xml:space="preserve">. </w:t>
      </w:r>
    </w:p>
    <w:p w14:paraId="21426605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Управление рисковыми портфелями</w:t>
      </w:r>
      <w:r>
        <w:rPr>
          <w:rFonts w:ascii="Times" w:hAnsi="Times"/>
        </w:rPr>
        <w:t xml:space="preserve">. </w:t>
      </w:r>
    </w:p>
    <w:p w14:paraId="0B508411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Оценка рисков при использование финансовый рычага в формировании инвестиционного портфеля</w:t>
      </w:r>
      <w:r>
        <w:rPr>
          <w:rFonts w:ascii="Times" w:hAnsi="Times"/>
        </w:rPr>
        <w:t xml:space="preserve">. </w:t>
      </w:r>
    </w:p>
    <w:p w14:paraId="2AE74722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 xml:space="preserve">Концепции рисков в моделях </w:t>
      </w:r>
      <w:r>
        <w:rPr>
          <w:rFonts w:ascii="Times" w:hAnsi="Times"/>
        </w:rPr>
        <w:t xml:space="preserve">CAMP , SML, A TR </w:t>
      </w:r>
      <w:r>
        <w:rPr>
          <w:rFonts w:ascii="TimesNewRoman" w:hAnsi="TimesNewRoman"/>
        </w:rPr>
        <w:t>их дискуссия об их применимости в современной экономической теории и практике</w:t>
      </w:r>
      <w:r>
        <w:rPr>
          <w:rFonts w:ascii="Times" w:hAnsi="Times"/>
        </w:rPr>
        <w:t xml:space="preserve">. </w:t>
      </w:r>
    </w:p>
    <w:p w14:paraId="05A0BDB8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Основы ценообразования на дисконтные и купонные облигации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 xml:space="preserve">Оценка процентного риска облигаций через </w:t>
      </w:r>
      <w:proofErr w:type="spellStart"/>
      <w:r>
        <w:rPr>
          <w:rFonts w:ascii="TimesNewRoman" w:hAnsi="TimesNewRoman"/>
        </w:rPr>
        <w:t>дюрацию</w:t>
      </w:r>
      <w:proofErr w:type="spellEnd"/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эластичность и выпуклость</w:t>
      </w:r>
      <w:r>
        <w:rPr>
          <w:rFonts w:ascii="Times" w:hAnsi="Times"/>
        </w:rPr>
        <w:t xml:space="preserve">. </w:t>
      </w:r>
    </w:p>
    <w:p w14:paraId="029AF192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Использование теории опционов для управления рисковыми инвестициями</w:t>
      </w:r>
      <w:r>
        <w:rPr>
          <w:rFonts w:ascii="Times" w:hAnsi="Times"/>
        </w:rPr>
        <w:t xml:space="preserve">. </w:t>
      </w:r>
    </w:p>
    <w:p w14:paraId="0D322A96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Опционы и хеджирование риска изменения цен</w:t>
      </w:r>
      <w:r>
        <w:rPr>
          <w:rFonts w:ascii="Times" w:hAnsi="Times"/>
        </w:rPr>
        <w:t xml:space="preserve">. </w:t>
      </w:r>
    </w:p>
    <w:p w14:paraId="589866FA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Основные покупатели и продавцы производных инструментов</w:t>
      </w:r>
      <w:r>
        <w:rPr>
          <w:rFonts w:ascii="Times" w:hAnsi="Times"/>
        </w:rPr>
        <w:t xml:space="preserve">: </w:t>
      </w:r>
      <w:proofErr w:type="spellStart"/>
      <w:r>
        <w:rPr>
          <w:rFonts w:ascii="TimesNewRoman" w:hAnsi="TimesNewRoman"/>
        </w:rPr>
        <w:t>хеджеры</w:t>
      </w:r>
      <w:proofErr w:type="spellEnd"/>
      <w:r>
        <w:rPr>
          <w:rFonts w:ascii="Times" w:hAnsi="Times"/>
        </w:rPr>
        <w:t xml:space="preserve">; </w:t>
      </w:r>
      <w:r>
        <w:rPr>
          <w:rFonts w:ascii="TimesNewRoman" w:hAnsi="TimesNewRoman"/>
        </w:rPr>
        <w:t>спекулянты</w:t>
      </w:r>
      <w:r>
        <w:rPr>
          <w:rFonts w:ascii="Times" w:hAnsi="Times"/>
        </w:rPr>
        <w:t xml:space="preserve">; </w:t>
      </w:r>
      <w:r>
        <w:rPr>
          <w:rFonts w:ascii="TimesNewRoman" w:hAnsi="TimesNewRoman"/>
        </w:rPr>
        <w:t>арбитражеры</w:t>
      </w:r>
      <w:r>
        <w:rPr>
          <w:rFonts w:ascii="Times" w:hAnsi="Times"/>
        </w:rPr>
        <w:t xml:space="preserve">. </w:t>
      </w:r>
    </w:p>
    <w:p w14:paraId="69B37547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Основные принципы хеджирования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Формулы полного и частичного хеджирования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Формулы кросс</w:t>
      </w:r>
      <w:r>
        <w:rPr>
          <w:rFonts w:ascii="Times" w:hAnsi="Times"/>
        </w:rPr>
        <w:t>-</w:t>
      </w:r>
      <w:r>
        <w:rPr>
          <w:rFonts w:ascii="TimesNewRoman" w:hAnsi="TimesNewRoman"/>
        </w:rPr>
        <w:t>хеджирования</w:t>
      </w:r>
      <w:r>
        <w:rPr>
          <w:rFonts w:ascii="Times" w:hAnsi="Times"/>
        </w:rPr>
        <w:t xml:space="preserve">. </w:t>
      </w:r>
    </w:p>
    <w:p w14:paraId="24A70800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Основные виды стратегий хеджирования</w:t>
      </w:r>
      <w:r>
        <w:rPr>
          <w:rFonts w:ascii="Times" w:hAnsi="Times"/>
        </w:rPr>
        <w:t xml:space="preserve">. </w:t>
      </w:r>
    </w:p>
    <w:p w14:paraId="36EAAE5C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Методы использование свопов в хеджировании рисков</w:t>
      </w:r>
      <w:r>
        <w:rPr>
          <w:rFonts w:ascii="Times" w:hAnsi="Times"/>
        </w:rPr>
        <w:t xml:space="preserve">. </w:t>
      </w:r>
    </w:p>
    <w:p w14:paraId="642FC866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Методы использования опционов в хеджировании рисков</w:t>
      </w:r>
      <w:r>
        <w:rPr>
          <w:rFonts w:ascii="Times" w:hAnsi="Times"/>
        </w:rPr>
        <w:t xml:space="preserve">. </w:t>
      </w:r>
    </w:p>
    <w:p w14:paraId="1827EE1D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proofErr w:type="spellStart"/>
      <w:r>
        <w:rPr>
          <w:rFonts w:ascii="TimesNewRoman" w:hAnsi="TimesNewRoman"/>
        </w:rPr>
        <w:t>Рисконесущие</w:t>
      </w:r>
      <w:proofErr w:type="spellEnd"/>
      <w:r>
        <w:rPr>
          <w:rFonts w:ascii="TimesNewRoman" w:hAnsi="TimesNewRoman"/>
        </w:rPr>
        <w:t xml:space="preserve"> факторы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влияющие на денежные потоки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методы оценки риска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методы моделирования риска</w:t>
      </w:r>
      <w:r>
        <w:rPr>
          <w:rFonts w:ascii="Times" w:hAnsi="Times"/>
        </w:rPr>
        <w:t xml:space="preserve">. </w:t>
      </w:r>
    </w:p>
    <w:p w14:paraId="4EE68814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proofErr w:type="spellStart"/>
      <w:r>
        <w:rPr>
          <w:rFonts w:ascii="TimesNewRoman" w:hAnsi="TimesNewRoman"/>
        </w:rPr>
        <w:t>Рисконесущие</w:t>
      </w:r>
      <w:proofErr w:type="spellEnd"/>
      <w:r>
        <w:rPr>
          <w:rFonts w:ascii="TimesNewRoman" w:hAnsi="TimesNewRoman"/>
        </w:rPr>
        <w:t xml:space="preserve"> факторы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влияющие на используемые коэффициенты дисконтирования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методы определения рисков проекта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включаемые в коэффициент дисконтирования</w:t>
      </w:r>
      <w:r>
        <w:rPr>
          <w:rFonts w:ascii="Times" w:hAnsi="Times"/>
        </w:rPr>
        <w:t xml:space="preserve">. </w:t>
      </w:r>
    </w:p>
    <w:p w14:paraId="7CFF5448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Анализ чувствительности инвестиционных проектов</w:t>
      </w:r>
      <w:r>
        <w:rPr>
          <w:rFonts w:ascii="Times" w:hAnsi="Times"/>
        </w:rPr>
        <w:t xml:space="preserve">. </w:t>
      </w:r>
    </w:p>
    <w:p w14:paraId="6A51595F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Имитационное моделирования инвестиционных проектов с помощью метода Монте</w:t>
      </w:r>
      <w:r>
        <w:rPr>
          <w:rFonts w:ascii="Times" w:hAnsi="Times"/>
        </w:rPr>
        <w:t>-</w:t>
      </w:r>
      <w:r>
        <w:rPr>
          <w:rFonts w:ascii="TimesNewRoman" w:hAnsi="TimesNewRoman"/>
        </w:rPr>
        <w:t>Карло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Форма оценка риска инвестиционных проектов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 xml:space="preserve">Управление рисками инвестиционного проекта </w:t>
      </w:r>
    </w:p>
    <w:p w14:paraId="4DDE7E3B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Производственный риск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Причины возникновения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структура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сущность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методы управления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Организация управления производственным риском</w:t>
      </w:r>
      <w:r>
        <w:rPr>
          <w:rFonts w:ascii="Times" w:hAnsi="Times"/>
        </w:rPr>
        <w:t xml:space="preserve">. </w:t>
      </w:r>
    </w:p>
    <w:p w14:paraId="6B9D8CC6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Риски неисполнения хозяйственных договоров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Риски усиления конкуренции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Риски возникновения непредвиденных расходов и сокращение доходов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Риски потери имущества предпринимательской организации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 xml:space="preserve">Риск </w:t>
      </w:r>
      <w:proofErr w:type="spellStart"/>
      <w:r>
        <w:rPr>
          <w:rFonts w:ascii="TimesNewRoman" w:hAnsi="TimesNewRoman"/>
        </w:rPr>
        <w:t>невостребованности</w:t>
      </w:r>
      <w:proofErr w:type="spellEnd"/>
      <w:r>
        <w:rPr>
          <w:rFonts w:ascii="TimesNewRoman" w:hAnsi="TimesNewRoman"/>
        </w:rPr>
        <w:t xml:space="preserve"> продукции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Промышленная безопасность</w:t>
      </w:r>
      <w:r>
        <w:rPr>
          <w:rFonts w:ascii="Times" w:hAnsi="Times"/>
        </w:rPr>
        <w:t xml:space="preserve">. </w:t>
      </w:r>
    </w:p>
    <w:p w14:paraId="162E84FD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Управление рисками в промышленности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Модели оценки производственных рисков</w:t>
      </w:r>
      <w:r>
        <w:rPr>
          <w:rFonts w:ascii="Times" w:hAnsi="Times"/>
        </w:rPr>
        <w:t xml:space="preserve">. </w:t>
      </w:r>
    </w:p>
    <w:p w14:paraId="11B09788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Принципиальная схема системы управления рисками в организации</w:t>
      </w:r>
      <w:r>
        <w:rPr>
          <w:rFonts w:ascii="Times" w:hAnsi="Times"/>
        </w:rPr>
        <w:t xml:space="preserve">. </w:t>
      </w:r>
    </w:p>
    <w:p w14:paraId="3EB20A08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Информационная структура системы управления рисками</w:t>
      </w:r>
      <w:r>
        <w:rPr>
          <w:rFonts w:ascii="Times" w:hAnsi="Times"/>
        </w:rPr>
        <w:t xml:space="preserve">. </w:t>
      </w:r>
    </w:p>
    <w:p w14:paraId="4F37B5A3" w14:textId="77777777" w:rsidR="00F831BC" w:rsidRDefault="00F831BC" w:rsidP="00F831B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Процедуры управления рисками в интегрированной системе управления рисками</w:t>
      </w:r>
      <w:r>
        <w:rPr>
          <w:rFonts w:ascii="Times" w:hAnsi="Times"/>
        </w:rPr>
        <w:t xml:space="preserve">. </w:t>
      </w:r>
      <w:r w:rsidRPr="00EC215B">
        <w:rPr>
          <w:rFonts w:ascii="TimesNewRoman" w:hAnsi="TimesNewRoman"/>
        </w:rPr>
        <w:t>Опыт использования интегрированных систем управления рисками в крупных компаниях</w:t>
      </w:r>
      <w:r w:rsidRPr="00EC215B">
        <w:rPr>
          <w:rFonts w:ascii="Times" w:hAnsi="Times"/>
        </w:rPr>
        <w:t xml:space="preserve">. </w:t>
      </w:r>
    </w:p>
    <w:p w14:paraId="75E49146" w14:textId="77777777" w:rsidR="00F831BC" w:rsidRDefault="00F831BC" w:rsidP="00F831BC">
      <w:pPr>
        <w:pStyle w:val="a3"/>
        <w:rPr>
          <w:rFonts w:ascii="Times" w:hAnsi="Times"/>
        </w:rPr>
      </w:pPr>
    </w:p>
    <w:p w14:paraId="5CA61BDF" w14:textId="77777777" w:rsidR="00F831BC" w:rsidRDefault="00F831BC" w:rsidP="00F831BC">
      <w:pPr>
        <w:pStyle w:val="a3"/>
        <w:rPr>
          <w:rFonts w:ascii="Times" w:hAnsi="Times"/>
        </w:rPr>
      </w:pPr>
    </w:p>
    <w:p w14:paraId="6B881426" w14:textId="77777777" w:rsidR="00F831BC" w:rsidRPr="00EC215B" w:rsidRDefault="00F831BC" w:rsidP="00F831BC">
      <w:pPr>
        <w:pStyle w:val="a3"/>
        <w:rPr>
          <w:rFonts w:ascii="Times" w:hAnsi="Times"/>
        </w:rPr>
      </w:pPr>
    </w:p>
    <w:p w14:paraId="6EC1D348" w14:textId="77777777" w:rsidR="00F831BC" w:rsidRPr="00F831BC" w:rsidRDefault="00F831BC" w:rsidP="00F831BC">
      <w:pPr>
        <w:spacing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F831B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Примерный перечень тестовых заданий</w:t>
      </w:r>
    </w:p>
    <w:bookmarkEnd w:id="0"/>
    <w:p w14:paraId="34B06210" w14:textId="1CD36C0B" w:rsidR="00F831BC" w:rsidRPr="00F831BC" w:rsidRDefault="00F831BC" w:rsidP="00F831BC">
      <w:pPr>
        <w:spacing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831BC">
        <w:rPr>
          <w:rFonts w:ascii="Times New Roman" w:eastAsia="Calibri" w:hAnsi="Times New Roman" w:cs="Times New Roman"/>
          <w:sz w:val="28"/>
          <w:szCs w:val="28"/>
        </w:rPr>
        <w:t>При проведении промежуточной аттестации обучающемуся предлагается дать ответы на 15 тестовых заданий из нижеприведенного списка.</w:t>
      </w:r>
    </w:p>
    <w:p w14:paraId="5EA3BA4B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b/>
          <w:bCs/>
          <w:lang w:eastAsia="ru-RU"/>
        </w:rPr>
      </w:pPr>
    </w:p>
    <w:p w14:paraId="6B5E25E2" w14:textId="00C7A93A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b/>
          <w:bCs/>
          <w:lang w:eastAsia="ru-RU"/>
        </w:rPr>
      </w:pPr>
      <w:r w:rsidRPr="000542ED">
        <w:rPr>
          <w:rFonts w:ascii="TimesNewRomanPSMT" w:eastAsia="Times New Roman" w:hAnsi="TimesNewRomanPSMT" w:cs="Times New Roman"/>
          <w:b/>
          <w:bCs/>
          <w:lang w:eastAsia="ru-RU"/>
        </w:rPr>
        <w:t>Тест 1</w:t>
      </w:r>
    </w:p>
    <w:p w14:paraId="5A516CCC" w14:textId="77777777" w:rsidR="000542ED" w:rsidRP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b/>
          <w:bCs/>
          <w:lang w:eastAsia="ru-RU"/>
        </w:rPr>
      </w:pPr>
    </w:p>
    <w:p w14:paraId="7FDAB9F0" w14:textId="28449D95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No1. В зависимости от уровня вероятности все риски можно разделить на </w:t>
      </w:r>
    </w:p>
    <w:p w14:paraId="051C1E02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2C881320" w14:textId="77777777" w:rsidR="00F934E4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индивидуальные и портфельные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постоянные и переменные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специфические и рыночные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прогнозируемые и непрогнозируемые </w:t>
      </w:r>
    </w:p>
    <w:p w14:paraId="22B7E2E8" w14:textId="02A46F70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5. страхуемые и не</w:t>
      </w:r>
      <w:r w:rsidR="003B5265">
        <w:rPr>
          <w:rFonts w:ascii="TimesNewRomanPSMT" w:eastAsia="Times New Roman" w:hAnsi="TimesNewRomanPSMT" w:cs="Times New Roman"/>
          <w:lang w:eastAsia="ru-RU"/>
        </w:rPr>
        <w:t xml:space="preserve"> 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страхуемые </w:t>
      </w:r>
    </w:p>
    <w:p w14:paraId="1BC4FB88" w14:textId="77777777" w:rsidR="00F934E4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6. внутренние и внешние</w:t>
      </w:r>
    </w:p>
    <w:p w14:paraId="0388B042" w14:textId="5ED13AAE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7. высоковероятные и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низковероятные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452E0B5A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2DDE7C84" w14:textId="144C10D2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No2. Бизнес-риск— это </w:t>
      </w:r>
    </w:p>
    <w:p w14:paraId="4B5B91B2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4293BC3F" w14:textId="4440BD21" w:rsidR="00F934E4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Риск потери финансово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усто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>чивости</w:t>
      </w:r>
    </w:p>
    <w:p w14:paraId="25C466DB" w14:textId="4ADAAFB6" w:rsidR="00F934E4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Риск невозможности поддерживать уровень дохода на акцию на не снижающемся уровне </w:t>
      </w:r>
    </w:p>
    <w:p w14:paraId="44F2FC6B" w14:textId="5CD5DDEB" w:rsidR="00F934E4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Риск снижения делово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привлекательности</w:t>
      </w:r>
    </w:p>
    <w:p w14:paraId="12F126EB" w14:textId="01BCD98F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4. Риск несвоевременного завершения строительных работ </w:t>
      </w:r>
    </w:p>
    <w:p w14:paraId="5E40F705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486EC343" w14:textId="127644FA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No3. В зависимости от возможности прогнозирования все риски можно разделить на </w:t>
      </w:r>
    </w:p>
    <w:p w14:paraId="5C45BC87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7A5E630D" w14:textId="370A75D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индивидуальные и портфельные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постоянные и переменные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специфические и рыночные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4. прогнозируемые и непрогнозируемые 5. страхуемые и не</w:t>
      </w:r>
      <w:r w:rsidR="00F934E4">
        <w:rPr>
          <w:rFonts w:ascii="TimesNewRomanPSMT" w:eastAsia="Times New Roman" w:hAnsi="TimesNewRomanPSMT" w:cs="Times New Roman"/>
          <w:lang w:eastAsia="ru-RU"/>
        </w:rPr>
        <w:t xml:space="preserve"> 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страхуемые </w:t>
      </w:r>
    </w:p>
    <w:p w14:paraId="6092F638" w14:textId="77777777" w:rsidR="00F934E4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6. внутренние и внешние </w:t>
      </w:r>
    </w:p>
    <w:p w14:paraId="120AEC07" w14:textId="6EF24D78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7. нет правильного ответа </w:t>
      </w:r>
    </w:p>
    <w:p w14:paraId="3859B277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480D7739" w14:textId="7D51709A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No4. Неопределенность финансово</w:t>
      </w:r>
      <w:r w:rsidR="00F934E4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среды предпринимательства не определяется фактором </w:t>
      </w:r>
    </w:p>
    <w:p w14:paraId="47A3A5C4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6C1B24CB" w14:textId="2233DF4A" w:rsidR="002A1AB1" w:rsidRPr="002A1AB1" w:rsidRDefault="002A1AB1" w:rsidP="000542ED">
      <w:pPr>
        <w:numPr>
          <w:ilvl w:val="0"/>
          <w:numId w:val="3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отсутствия полно</w:t>
      </w:r>
      <w:r w:rsidR="00F934E4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 достоверно</w:t>
      </w:r>
      <w:r w:rsidR="00F934E4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информации об окружающе</w:t>
      </w:r>
      <w:r w:rsidR="00F934E4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среде </w:t>
      </w:r>
    </w:p>
    <w:p w14:paraId="685F82B8" w14:textId="1EDCB97B" w:rsidR="002A1AB1" w:rsidRPr="002A1AB1" w:rsidRDefault="002A1AB1" w:rsidP="000542ED">
      <w:pPr>
        <w:numPr>
          <w:ilvl w:val="0"/>
          <w:numId w:val="3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недостаточно</w:t>
      </w:r>
      <w:r w:rsidR="00F934E4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технологическо</w:t>
      </w:r>
      <w:r w:rsidR="00F934E4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базы для осуществления предпринимательско</w:t>
      </w:r>
      <w:r w:rsidR="00F934E4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деятельности </w:t>
      </w:r>
    </w:p>
    <w:p w14:paraId="6FC0B79E" w14:textId="7C11435C" w:rsidR="002A1AB1" w:rsidRPr="002A1AB1" w:rsidRDefault="002A1AB1" w:rsidP="000542ED">
      <w:pPr>
        <w:numPr>
          <w:ilvl w:val="0"/>
          <w:numId w:val="3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случа</w:t>
      </w:r>
      <w:r w:rsidR="00F934E4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>ности проявления неблагоприятных событий в процессе предпринимательско</w:t>
      </w:r>
      <w:r w:rsidR="00F934E4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деятельности </w:t>
      </w:r>
    </w:p>
    <w:p w14:paraId="4F512AD9" w14:textId="360996AB" w:rsidR="002A1AB1" w:rsidRPr="002A1AB1" w:rsidRDefault="002A1AB1" w:rsidP="000542ED">
      <w:pPr>
        <w:numPr>
          <w:ilvl w:val="0"/>
          <w:numId w:val="3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ограниченно</w:t>
      </w:r>
      <w:r w:rsidR="00F934E4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способности предпринимателя воспринимать и перерабатывать поступающую </w:t>
      </w:r>
    </w:p>
    <w:p w14:paraId="77E5A9CF" w14:textId="77777777" w:rsidR="002A1AB1" w:rsidRPr="002A1AB1" w:rsidRDefault="002A1AB1" w:rsidP="000542ED">
      <w:pPr>
        <w:shd w:val="clear" w:color="auto" w:fill="FFFFFF"/>
        <w:ind w:left="720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информацию </w:t>
      </w:r>
    </w:p>
    <w:p w14:paraId="4792DE62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40B06861" w14:textId="64205612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No5. К основным формам финансового риск-анализа не относят </w:t>
      </w:r>
    </w:p>
    <w:p w14:paraId="4AA12695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14A8D5A1" w14:textId="59A291AB" w:rsidR="00F934E4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Внутренни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финансовы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риск-анализ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Предварительны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финансовы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риск-анализ </w:t>
      </w:r>
    </w:p>
    <w:p w14:paraId="2351F7B3" w14:textId="517BA545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lastRenderedPageBreak/>
        <w:t>3. Качественны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финансовы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риск-анализ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4. Совмещенны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финансовы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риск-анализ </w:t>
      </w:r>
    </w:p>
    <w:p w14:paraId="4E4E80D7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1A985224" w14:textId="4FC3CA81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No6. Банковски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неликвидности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рассматривается в двух направлениях </w:t>
      </w:r>
    </w:p>
    <w:p w14:paraId="6093E6D3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3BB12B7E" w14:textId="14A7C8EB" w:rsidR="00F934E4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риск ликвидности и риск платежеспособности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риск недостаточно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ликвидности и риски излишне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ликвидности </w:t>
      </w:r>
    </w:p>
    <w:p w14:paraId="250B0BE3" w14:textId="60C68292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риск абсолютно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ликвидности и риск относительно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ликвидности </w:t>
      </w:r>
    </w:p>
    <w:p w14:paraId="1CF92E6A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05BC50EC" w14:textId="18774F10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No7.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Страново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 - это </w:t>
      </w:r>
    </w:p>
    <w:p w14:paraId="247915AC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54413A34" w14:textId="7DAFA4BA" w:rsidR="002A1AB1" w:rsidRPr="002A1AB1" w:rsidRDefault="002A1AB1" w:rsidP="000542ED">
      <w:pPr>
        <w:numPr>
          <w:ilvl w:val="0"/>
          <w:numId w:val="4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вероятность того, что страна, в которо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размещены активы компании, перестанет отвечать по своим обязательствам </w:t>
      </w:r>
    </w:p>
    <w:p w14:paraId="6562CB1C" w14:textId="77777777" w:rsidR="002A1AB1" w:rsidRPr="002A1AB1" w:rsidRDefault="002A1AB1" w:rsidP="000542ED">
      <w:pPr>
        <w:numPr>
          <w:ilvl w:val="0"/>
          <w:numId w:val="4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риск того, что государство активизирует процессы приватизации </w:t>
      </w:r>
    </w:p>
    <w:p w14:paraId="1A16D26E" w14:textId="296E49C5" w:rsidR="002A1AB1" w:rsidRPr="002A1AB1" w:rsidRDefault="002A1AB1" w:rsidP="000542ED">
      <w:pPr>
        <w:numPr>
          <w:ilvl w:val="0"/>
          <w:numId w:val="4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риск, связанны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 инвестиционно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привлекательностью государства для зарубежных инвестиций </w:t>
      </w:r>
    </w:p>
    <w:p w14:paraId="789396F5" w14:textId="6711EDE4" w:rsidR="002A1AB1" w:rsidRPr="002A1AB1" w:rsidRDefault="002A1AB1" w:rsidP="000542ED">
      <w:pPr>
        <w:numPr>
          <w:ilvl w:val="0"/>
          <w:numId w:val="4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риск увеличения налогово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нагрузки на частны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бизнес </w:t>
      </w:r>
    </w:p>
    <w:p w14:paraId="3CA104F5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51131C67" w14:textId="5AEC32A8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No8. Како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из перечисленных ниже ученых внес существенны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вклад в развитие категории предпринимательских рисков </w:t>
      </w:r>
    </w:p>
    <w:p w14:paraId="65358EBB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52B18AAD" w14:textId="5028E2EE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А. Смит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2. Дж. М.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Ке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>нс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Й.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Шумпетер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br/>
        <w:t>4. А. Маршалл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5. Все ответы верны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6. Нет правильного ответа </w:t>
      </w:r>
    </w:p>
    <w:p w14:paraId="4FBA8F73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0021FA86" w14:textId="084810D6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No9. </w:t>
      </w:r>
    </w:p>
    <w:p w14:paraId="32949AD5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Несистематическим (диверсифицируемым) риском является </w:t>
      </w:r>
    </w:p>
    <w:p w14:paraId="0A04A10B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6A6F7467" w14:textId="4D0C1D25" w:rsidR="00F934E4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инфляционны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 </w:t>
      </w:r>
    </w:p>
    <w:p w14:paraId="6EA2E5AE" w14:textId="69A7117A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процентны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проектны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4. налоговы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 </w:t>
      </w:r>
    </w:p>
    <w:p w14:paraId="71183442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7A52375F" w14:textId="4F2181C6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No10. Согласно неоклассическо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теории компания при осуществлении свое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финансово- экономическо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деятельности должна руководствоваться следующими критериями </w:t>
      </w:r>
    </w:p>
    <w:p w14:paraId="3F233EC2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135B2976" w14:textId="63213907" w:rsidR="00F934E4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размером ожидаемо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выручки и ее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колеблемостью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11818A5F" w14:textId="12D47BC3" w:rsidR="00F934E4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размером ожидаемо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прибыли и ее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колеблемостью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462B6D12" w14:textId="4BC41830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размером возможных убытков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4. размером упущенно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выгоды </w:t>
      </w:r>
    </w:p>
    <w:p w14:paraId="4E50E214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0B042827" w14:textId="5CB074F6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No11. Согласно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кейнсианско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теории риска при выборе из альтернативных проектов следует руководствоваться </w:t>
      </w:r>
    </w:p>
    <w:p w14:paraId="39852720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443AD0FD" w14:textId="298B445C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Размерами потенциально возможно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упущенно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выгоды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Наименьшим возможным уровнем потерь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Соотношением между доходностью и показателями инвестиционного риска 4. Все ответы верны </w:t>
      </w:r>
    </w:p>
    <w:p w14:paraId="1D69B8B7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1F705600" w14:textId="44E7214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No12. Интегральны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финансовы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анализ включает в себя </w:t>
      </w: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Тип ответа: 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Многие из многих </w:t>
      </w:r>
    </w:p>
    <w:p w14:paraId="339FFA8B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1B5B7759" w14:textId="179BAFF8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Количественны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SWOT-анализ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2. Система анализа по модели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DuPont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с главным контрольным показателем ROE 3. Объектно-ориентированная система финансового анализа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Метод 635 </w:t>
      </w:r>
    </w:p>
    <w:p w14:paraId="5B719594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1EFE446F" w14:textId="024CBBDA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No13. В процессе прогнозирования основных показателе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долгосрочного финансового плана предприятия используются следующие основные методы </w:t>
      </w:r>
    </w:p>
    <w:p w14:paraId="03D58FDA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78F614A0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Метод корреляционного моделирования и методы оптимизационного моделирования. </w:t>
      </w:r>
    </w:p>
    <w:p w14:paraId="32FC5E43" w14:textId="6325F48E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Метод многофакторно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регрессии и метод дисконтирования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Метод нечетко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логики и методы сравнения.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4. Метод бинарно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логики и метод скользящих средних. </w:t>
      </w:r>
    </w:p>
    <w:p w14:paraId="7DB4815B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16B8EF6F" w14:textId="2F843365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No14. Как называются риски, в результате реализации которых предприятию грозит потеря прибыли </w:t>
      </w:r>
    </w:p>
    <w:p w14:paraId="4FC6268D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7FC1D605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катастрофическими 2. критическими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допустимыми </w:t>
      </w:r>
    </w:p>
    <w:p w14:paraId="1A293BE7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4A3C861C" w14:textId="10D36DD5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No15. </w:t>
      </w:r>
    </w:p>
    <w:p w14:paraId="0EF1C999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Из перечисленных ниже принципов выберете те, которые относятся к принципам построения системы финансового риск-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контроллинга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24C09E09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Тип ответа: 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Многие из многих </w:t>
      </w:r>
    </w:p>
    <w:p w14:paraId="6CCFBBDC" w14:textId="49F05A2F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772D1836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Экономичность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Своевременность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Ангажированность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Многофункциональность </w:t>
      </w:r>
    </w:p>
    <w:p w14:paraId="7866D97C" w14:textId="0C7B7466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5. Простота построения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6. Схематичность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7. Гибкость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8. Информационность </w:t>
      </w:r>
    </w:p>
    <w:p w14:paraId="04AD6CEC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1CB25FE9" w14:textId="42CFCD04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No16.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Какои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>̆ метод не является методом экспертно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оценки </w:t>
      </w:r>
    </w:p>
    <w:p w14:paraId="02163CD9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05C0984D" w14:textId="2F03E1D3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Мозгово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штурм </w:t>
      </w:r>
    </w:p>
    <w:p w14:paraId="263EC769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Метод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Дельфи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0A4CE7B7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3. Метод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Фулмера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2A290416" w14:textId="5174D645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4. Интервью </w:t>
      </w:r>
    </w:p>
    <w:p w14:paraId="6841736A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028E7CC4" w14:textId="4E725EB1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No17. Создание финансового норматива </w:t>
      </w:r>
      <w:r w:rsidR="000542ED">
        <w:rPr>
          <w:rFonts w:ascii="TimesNewRomanPSMT" w:eastAsia="Times New Roman" w:hAnsi="TimesNewRomanPSMT" w:cs="Times New Roman"/>
          <w:lang w:eastAsia="ru-RU"/>
        </w:rPr>
        <w:t>«</w:t>
      </w:r>
      <w:r w:rsidRPr="002A1AB1">
        <w:rPr>
          <w:rFonts w:ascii="TimesNewRomanPSMT" w:eastAsia="Times New Roman" w:hAnsi="TimesNewRomanPSMT" w:cs="Times New Roman"/>
          <w:lang w:eastAsia="ru-RU"/>
        </w:rPr>
        <w:t>предельны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размер заемных средств, используемых в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хозя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>ственнои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̆ деятельности" это мера </w:t>
      </w:r>
    </w:p>
    <w:p w14:paraId="2F551B3C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55D297BD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Диверсификации </w:t>
      </w:r>
    </w:p>
    <w:p w14:paraId="1B761F68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Лимитирования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6F0290D5" w14:textId="0B140E52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3.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Избежания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Страхования </w:t>
      </w:r>
    </w:p>
    <w:p w14:paraId="3662F4F9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507B2986" w14:textId="31F59BB3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lastRenderedPageBreak/>
        <w:t xml:space="preserve">Вопрос No18. Отказ от чрезмерного использования оборотных активов в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низколиквидных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формах это мера </w:t>
      </w:r>
    </w:p>
    <w:p w14:paraId="1FF4D41F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0E0DE38E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Диверсификации </w:t>
      </w:r>
    </w:p>
    <w:p w14:paraId="29C2AEFE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Лимитирования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0E7A65F5" w14:textId="3DAFFD85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3. </w:t>
      </w:r>
      <w:r w:rsidR="003B5265" w:rsidRPr="002A1AB1">
        <w:rPr>
          <w:rFonts w:ascii="TimesNewRomanPSMT" w:eastAsia="Times New Roman" w:hAnsi="TimesNewRomanPSMT" w:cs="Times New Roman"/>
          <w:lang w:eastAsia="ru-RU"/>
        </w:rPr>
        <w:t>Избе</w:t>
      </w:r>
      <w:r w:rsidR="003B5265">
        <w:rPr>
          <w:rFonts w:ascii="TimesNewRomanPSMT" w:eastAsia="Times New Roman" w:hAnsi="TimesNewRomanPSMT" w:cs="Times New Roman"/>
          <w:lang w:eastAsia="ru-RU"/>
        </w:rPr>
        <w:t>г</w:t>
      </w:r>
      <w:r w:rsidR="003B5265" w:rsidRPr="002A1AB1">
        <w:rPr>
          <w:rFonts w:ascii="TimesNewRomanPSMT" w:eastAsia="Times New Roman" w:hAnsi="TimesNewRomanPSMT" w:cs="Times New Roman"/>
          <w:lang w:eastAsia="ru-RU"/>
        </w:rPr>
        <w:t>ани</w:t>
      </w:r>
      <w:r w:rsidR="003B5265">
        <w:rPr>
          <w:rFonts w:ascii="TimesNewRomanPSMT" w:eastAsia="Times New Roman" w:hAnsi="TimesNewRomanPSMT" w:cs="Times New Roman"/>
          <w:lang w:eastAsia="ru-RU"/>
        </w:rPr>
        <w:t>я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Страхования </w:t>
      </w:r>
    </w:p>
    <w:p w14:paraId="336CDAFE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08A6206E" w14:textId="4BAB39C6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No19. Распределение риска между участниками лизингово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сделки </w:t>
      </w:r>
      <w:r w:rsidR="003B5265">
        <w:rPr>
          <w:rFonts w:ascii="TimesNewRomanPSMT" w:eastAsia="Times New Roman" w:hAnsi="TimesNewRomanPSMT" w:cs="Times New Roman"/>
          <w:lang w:eastAsia="ru-RU"/>
        </w:rPr>
        <w:t xml:space="preserve">- 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это метод </w:t>
      </w:r>
    </w:p>
    <w:p w14:paraId="6E48F9B3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5F77C2E8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лимитирования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рисков </w:t>
      </w:r>
    </w:p>
    <w:p w14:paraId="2CFBAD71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диверсификации рисков </w:t>
      </w:r>
    </w:p>
    <w:p w14:paraId="00A03175" w14:textId="1A8B5F9B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трансферта рисков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</w:t>
      </w:r>
      <w:r w:rsidR="003B5265" w:rsidRPr="002A1AB1">
        <w:rPr>
          <w:rFonts w:ascii="TimesNewRomanPSMT" w:eastAsia="Times New Roman" w:hAnsi="TimesNewRomanPSMT" w:cs="Times New Roman"/>
          <w:lang w:eastAsia="ru-RU"/>
        </w:rPr>
        <w:t>избегания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рисков </w:t>
      </w:r>
    </w:p>
    <w:p w14:paraId="3CD3263D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0F3910BA" w14:textId="0D5CD139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No20.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В чем состоит социально-экономическая функция риска </w:t>
      </w:r>
    </w:p>
    <w:p w14:paraId="1C95F87F" w14:textId="4E3981E5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406AF34F" w14:textId="1EFBBCAF" w:rsidR="002A1AB1" w:rsidRPr="002A1AB1" w:rsidRDefault="002A1AB1" w:rsidP="000542ED">
      <w:pPr>
        <w:numPr>
          <w:ilvl w:val="0"/>
          <w:numId w:val="5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 том, что в процессе рыночно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деятельности риск и конкуренция позволяет выделить социальные группы эффективных собственников в общественных классах, а в экономике — отрасли деятельности, в которых риск приемлем </w:t>
      </w:r>
    </w:p>
    <w:p w14:paraId="6204F480" w14:textId="298FC970" w:rsidR="002A1AB1" w:rsidRPr="002A1AB1" w:rsidRDefault="002A1AB1" w:rsidP="000542ED">
      <w:pPr>
        <w:numPr>
          <w:ilvl w:val="0"/>
          <w:numId w:val="5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 том, что реализация риска может обеспечить дополнительную по сравнению с планово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прибыль в случае благоприятного исхода </w:t>
      </w:r>
    </w:p>
    <w:p w14:paraId="7324D014" w14:textId="1B435D94" w:rsidR="002A1AB1" w:rsidRDefault="002A1AB1" w:rsidP="000542ED">
      <w:pPr>
        <w:numPr>
          <w:ilvl w:val="0"/>
          <w:numId w:val="5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оба варианта верны </w:t>
      </w:r>
    </w:p>
    <w:p w14:paraId="0269BE7A" w14:textId="2DBCFB4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1A4E4AFF" w14:textId="77777777" w:rsidR="00F934E4" w:rsidRDefault="00F934E4" w:rsidP="000542ED">
      <w:pPr>
        <w:shd w:val="clear" w:color="auto" w:fill="FFFFFF"/>
        <w:rPr>
          <w:rFonts w:ascii="TimesNewRomanPS" w:eastAsia="Times New Roman" w:hAnsi="TimesNewRomanPS" w:cs="Times New Roman"/>
          <w:b/>
          <w:bCs/>
          <w:lang w:eastAsia="ru-RU"/>
        </w:rPr>
      </w:pPr>
    </w:p>
    <w:p w14:paraId="4B3EAF1D" w14:textId="72AE6AD0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b/>
          <w:bCs/>
          <w:lang w:eastAsia="ru-RU"/>
        </w:rPr>
        <w:t xml:space="preserve">Тест </w:t>
      </w:r>
      <w:r w:rsidR="000542ED">
        <w:rPr>
          <w:rFonts w:ascii="TimesNewRomanPS" w:eastAsia="Times New Roman" w:hAnsi="TimesNewRomanPS" w:cs="Times New Roman"/>
          <w:b/>
          <w:bCs/>
          <w:lang w:eastAsia="ru-RU"/>
        </w:rPr>
        <w:t>2</w:t>
      </w:r>
    </w:p>
    <w:p w14:paraId="3ED0BE2E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Основу управления риском составляет </w:t>
      </w:r>
    </w:p>
    <w:p w14:paraId="691CD1F6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0F6D8500" w14:textId="700ED1B7" w:rsidR="000542ED" w:rsidRPr="000542ED" w:rsidRDefault="000542ED" w:rsidP="000542ED">
      <w:pPr>
        <w:pStyle w:val="a4"/>
        <w:shd w:val="clear" w:color="auto" w:fill="FFFFFF"/>
        <w:ind w:left="0"/>
        <w:rPr>
          <w:rFonts w:ascii="TimesNewRomanPSMT" w:eastAsia="Times New Roman" w:hAnsi="TimesNewRomanPSMT" w:cs="Times New Roman"/>
          <w:lang w:eastAsia="ru-RU"/>
        </w:rPr>
      </w:pPr>
      <w:r>
        <w:rPr>
          <w:rFonts w:ascii="TimesNewRomanPSMT" w:eastAsia="Times New Roman" w:hAnsi="TimesNewRomanPSMT" w:cs="Times New Roman"/>
          <w:lang w:eastAsia="ru-RU"/>
        </w:rPr>
        <w:t xml:space="preserve">1. </w:t>
      </w:r>
      <w:r w:rsidR="002A1AB1" w:rsidRPr="000542ED">
        <w:rPr>
          <w:rFonts w:ascii="TimesNewRomanPSMT" w:eastAsia="Times New Roman" w:hAnsi="TimesNewRomanPSMT" w:cs="Times New Roman"/>
          <w:lang w:eastAsia="ru-RU"/>
        </w:rPr>
        <w:t>фактор «везения»;</w:t>
      </w:r>
      <w:r w:rsidR="002A1AB1" w:rsidRPr="000542ED">
        <w:rPr>
          <w:rFonts w:ascii="TimesNewRomanPSMT" w:eastAsia="Times New Roman" w:hAnsi="TimesNewRomanPSMT" w:cs="Times New Roman"/>
          <w:lang w:eastAsia="ru-RU"/>
        </w:rPr>
        <w:br/>
        <w:t>2. исключительно математически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="002A1AB1" w:rsidRPr="000542ED">
        <w:rPr>
          <w:rFonts w:ascii="TimesNewRomanPSMT" w:eastAsia="Times New Roman" w:hAnsi="TimesNewRomanPSMT" w:cs="Times New Roman"/>
          <w:lang w:eastAsia="ru-RU"/>
        </w:rPr>
        <w:t xml:space="preserve"> расчет</w:t>
      </w:r>
      <w:r w:rsidR="002A1AB1" w:rsidRPr="000542ED">
        <w:rPr>
          <w:rFonts w:ascii="TimesNewRomanPSMT" w:eastAsia="Times New Roman" w:hAnsi="TimesNewRomanPSMT" w:cs="Times New Roman"/>
          <w:lang w:eastAsia="ru-RU"/>
        </w:rPr>
        <w:br/>
        <w:t xml:space="preserve">3. знания и опыт, полученные в результате тщательного изучения всех ранее возникавших случаев ущерба. </w:t>
      </w:r>
    </w:p>
    <w:p w14:paraId="7F81B136" w14:textId="77777777" w:rsidR="000542ED" w:rsidRPr="000542ED" w:rsidRDefault="000542ED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</w:p>
    <w:p w14:paraId="1BF60303" w14:textId="2F4B86DE" w:rsidR="002A1AB1" w:rsidRPr="000542ED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0542ED">
        <w:rPr>
          <w:rFonts w:ascii="TimesNewRomanPSMT" w:eastAsia="Times New Roman" w:hAnsi="TimesNewRomanPSMT" w:cs="Times New Roman"/>
          <w:lang w:eastAsia="ru-RU"/>
        </w:rPr>
        <w:t xml:space="preserve">Вопрос No2. </w:t>
      </w:r>
    </w:p>
    <w:p w14:paraId="47DE4EA6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Тщательная проработка проекта решения на стадии поиска возможных вариантов, выявление узких мест и источников риска приводит </w:t>
      </w:r>
    </w:p>
    <w:p w14:paraId="367C17DD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51AC3FCB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к увеличению риска;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к полному предотвращению отрицательных последствий риска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к уменьшению, предотвращению и компенсации отрицательных последствий риска </w:t>
      </w:r>
    </w:p>
    <w:p w14:paraId="066A88BC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26509FE8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No3.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Собственные оборотные средства рассчитываются как разность </w:t>
      </w:r>
    </w:p>
    <w:p w14:paraId="581825A9" w14:textId="20F9B2E4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34B3EB60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запасов и денежных средств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2. капитала, резервов и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внеоборотных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активов; </w:t>
      </w:r>
    </w:p>
    <w:p w14:paraId="3169B935" w14:textId="400C58B5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3. прибыли прошлого и отчетного года; </w:t>
      </w:r>
    </w:p>
    <w:p w14:paraId="080E204C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3FF306E9" w14:textId="7559909F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No4. </w:t>
      </w:r>
    </w:p>
    <w:p w14:paraId="695CFE9F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Порог рентабельности находится там, где </w:t>
      </w:r>
    </w:p>
    <w:p w14:paraId="2FA0FBC5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lastRenderedPageBreak/>
        <w:t xml:space="preserve">Варианты ответов: </w:t>
      </w:r>
    </w:p>
    <w:p w14:paraId="5879777B" w14:textId="5F3795BA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маржинальны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доход равен постоянным затратам;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маржинальны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доход превышает постоянные затраты; </w:t>
      </w:r>
    </w:p>
    <w:p w14:paraId="4DE77E85" w14:textId="58440D23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маржинальны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доход ниже уровня постоянных затрат. </w:t>
      </w:r>
    </w:p>
    <w:p w14:paraId="6970D4BD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44ED98DF" w14:textId="1432519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No5. </w:t>
      </w:r>
    </w:p>
    <w:p w14:paraId="6A0E73B5" w14:textId="42235E69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Обоснование структуры выпускаемо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продукции предприятия ведется на основе </w:t>
      </w:r>
    </w:p>
    <w:p w14:paraId="4779D8A5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28790F61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эмпирического способа </w:t>
      </w:r>
    </w:p>
    <w:p w14:paraId="172F48AC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маржинального анализа;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маржинального анализа и эмпирического способа </w:t>
      </w:r>
    </w:p>
    <w:p w14:paraId="0164D454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0C03B632" w14:textId="5124873B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No6.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Главным объектом управления является </w:t>
      </w:r>
    </w:p>
    <w:p w14:paraId="05714920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660F0380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человек как личность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фауна планеты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оборудование предприятия </w:t>
      </w:r>
    </w:p>
    <w:p w14:paraId="16AEF61D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69062C26" w14:textId="06F240DC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No7. </w:t>
      </w:r>
    </w:p>
    <w:p w14:paraId="2CD8A82A" w14:textId="324C05F6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Распределение риска на конкретные группы по определенным признакам для достижения поставленных целе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0EB81E7D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487662F9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учет рисков;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расчет рисков;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классификация рисков </w:t>
      </w:r>
    </w:p>
    <w:p w14:paraId="00BFC1D4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No8. </w:t>
      </w:r>
    </w:p>
    <w:p w14:paraId="577B8D8C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 процессе управления рисками определение факторов риска и обстоятельств, приводящих к рисковым ситуациям, называют </w:t>
      </w:r>
    </w:p>
    <w:p w14:paraId="39F22228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2E18B43C" w14:textId="6EE91462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количественны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анализ рисков </w:t>
      </w:r>
    </w:p>
    <w:p w14:paraId="6B35DD53" w14:textId="285FB0D4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качественны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анализ рисков</w:t>
      </w:r>
    </w:p>
    <w:p w14:paraId="191525DC" w14:textId="24ACE719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индикативны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анализ </w:t>
      </w:r>
    </w:p>
    <w:p w14:paraId="40473613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5B5A2DC8" w14:textId="61562145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No9. </w:t>
      </w:r>
    </w:p>
    <w:p w14:paraId="2D9B28B9" w14:textId="288E510A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Финансовы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контроль </w:t>
      </w:r>
    </w:p>
    <w:p w14:paraId="34761D98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6D1BA3C8" w14:textId="646D6C21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представляет собо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сверку сальдовых остатков на складе предприятия;</w:t>
      </w:r>
    </w:p>
    <w:p w14:paraId="089EF2E7" w14:textId="0612C28E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не ограничивается только количественно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 правово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сторонами финансово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деятельности субъектов хозя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>ствования, а имеет аналитически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аспект;</w:t>
      </w:r>
    </w:p>
    <w:p w14:paraId="47D5B594" w14:textId="74E29338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представляет собо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количественную оценку финансово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деятельности субъекта хозя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ствования; </w:t>
      </w:r>
    </w:p>
    <w:p w14:paraId="6A307DC7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1BD772FA" w14:textId="6B493C58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No10.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Отнесение организации к определенно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категории финансово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усто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чивости осуществляется </w:t>
      </w:r>
    </w:p>
    <w:p w14:paraId="6CA3C9BA" w14:textId="17867231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100B05CE" w14:textId="52B93561" w:rsidR="000542ED" w:rsidRPr="000542ED" w:rsidRDefault="000542ED" w:rsidP="000542ED">
      <w:pPr>
        <w:pStyle w:val="a4"/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>
        <w:rPr>
          <w:rFonts w:ascii="TimesNewRomanPSMT" w:eastAsia="Times New Roman" w:hAnsi="TimesNewRomanPSMT" w:cs="Times New Roman"/>
          <w:lang w:eastAsia="ru-RU"/>
        </w:rPr>
        <w:t xml:space="preserve">1. </w:t>
      </w:r>
      <w:r w:rsidR="002A1AB1" w:rsidRPr="000542ED">
        <w:rPr>
          <w:rFonts w:ascii="TimesNewRomanPSMT" w:eastAsia="Times New Roman" w:hAnsi="TimesNewRomanPSMT" w:cs="Times New Roman"/>
          <w:lang w:eastAsia="ru-RU"/>
        </w:rPr>
        <w:t>на основе коэффициента дисконтирования;</w:t>
      </w:r>
      <w:r w:rsidR="002A1AB1" w:rsidRPr="000542ED">
        <w:rPr>
          <w:rFonts w:ascii="TimesNewRomanPSMT" w:eastAsia="Times New Roman" w:hAnsi="TimesNewRomanPSMT" w:cs="Times New Roman"/>
          <w:lang w:eastAsia="ru-RU"/>
        </w:rPr>
        <w:br/>
        <w:t>2. на основе обще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="002A1AB1" w:rsidRPr="000542ED">
        <w:rPr>
          <w:rFonts w:ascii="TimesNewRomanPSMT" w:eastAsia="Times New Roman" w:hAnsi="TimesNewRomanPSMT" w:cs="Times New Roman"/>
          <w:lang w:eastAsia="ru-RU"/>
        </w:rPr>
        <w:t xml:space="preserve"> величины трудозатрат</w:t>
      </w:r>
      <w:r w:rsidR="002A1AB1" w:rsidRPr="000542ED">
        <w:rPr>
          <w:rFonts w:ascii="TimesNewRomanPSMT" w:eastAsia="Times New Roman" w:hAnsi="TimesNewRomanPSMT" w:cs="Times New Roman"/>
          <w:lang w:eastAsia="ru-RU"/>
        </w:rPr>
        <w:br/>
        <w:t xml:space="preserve">3. на основе излишка или недостатка плановых источников средств для формирования запасов и затрат; </w:t>
      </w:r>
    </w:p>
    <w:p w14:paraId="04E26F22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364CB202" w14:textId="2C5646AF" w:rsidR="002A1AB1" w:rsidRPr="000542ED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0542ED">
        <w:rPr>
          <w:rFonts w:ascii="TimesNewRomanPSMT" w:eastAsia="Times New Roman" w:hAnsi="TimesNewRomanPSMT" w:cs="Times New Roman"/>
          <w:lang w:eastAsia="ru-RU"/>
        </w:rPr>
        <w:lastRenderedPageBreak/>
        <w:t xml:space="preserve">Вопрос No11. </w:t>
      </w:r>
    </w:p>
    <w:p w14:paraId="3755D18A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Маржинальная прибыль рассчитывается как </w:t>
      </w:r>
    </w:p>
    <w:p w14:paraId="72547AAA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4FB4E480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частное от деление выручки и переменных издержек </w:t>
      </w:r>
    </w:p>
    <w:p w14:paraId="2DF2BC4D" w14:textId="049C13C3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разница между выручко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 переменными издержками </w:t>
      </w:r>
    </w:p>
    <w:p w14:paraId="6EBBE957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3. частное от деления выручки и постоянных издержек </w:t>
      </w:r>
    </w:p>
    <w:p w14:paraId="71CBA3C2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3DE47F0A" w14:textId="2FA1EB46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No12.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Прибыль (убыток) от продаж равна:</w:t>
      </w:r>
      <w:r w:rsidRPr="002A1AB1">
        <w:rPr>
          <w:rFonts w:ascii="TimesNewRomanPSMT" w:eastAsia="Times New Roman" w:hAnsi="TimesNewRomanPSMT" w:cs="Times New Roman"/>
          <w:lang w:eastAsia="ru-RU"/>
        </w:rPr>
        <w:br/>
      </w: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7D11FB3B" w14:textId="444900A0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разнице между балансово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прибылью и управленческими расходами предприятия;</w:t>
      </w:r>
    </w:p>
    <w:p w14:paraId="68F33BC0" w14:textId="04540925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разнице между валово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прибылью и коммерческими и управленческими расходами предприятия; </w:t>
      </w:r>
    </w:p>
    <w:p w14:paraId="01EA78E1" w14:textId="15C1929E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разнице между прибылью до налогообложения и величино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налоговых отчислений </w:t>
      </w:r>
    </w:p>
    <w:p w14:paraId="3DA9A168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2F225131" w14:textId="77777777" w:rsidR="003B5265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No13.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Рентабельность собственного капитала предприятия показывает </w:t>
      </w:r>
    </w:p>
    <w:p w14:paraId="1B2C05D7" w14:textId="671F1981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02E8C222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величину прибыли с каждого рубля заемных средств;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величину прибыли с каждого рубля долгосрочных кредитов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эффективность использования акционерного капитала предприятия; </w:t>
      </w:r>
    </w:p>
    <w:p w14:paraId="5DBAC88E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366C3F3C" w14:textId="7AD5235E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No14. </w:t>
      </w:r>
    </w:p>
    <w:p w14:paraId="71C2B311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Рентабельность продаж показывает </w:t>
      </w:r>
    </w:p>
    <w:p w14:paraId="555C94F3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5BCB1F31" w14:textId="532FAD7B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прирост активов организации;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величину резервного фонда.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долю валово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(чисто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) прибыли в выручке предприятия; </w:t>
      </w:r>
    </w:p>
    <w:p w14:paraId="79102129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1A7890BE" w14:textId="354D7F0F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No15. </w:t>
      </w:r>
    </w:p>
    <w:p w14:paraId="1E5578C1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К приростным затратам относят </w:t>
      </w:r>
    </w:p>
    <w:p w14:paraId="500652A3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563795DE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сбытовые и производственные затраты </w:t>
      </w:r>
    </w:p>
    <w:p w14:paraId="37CB9DA9" w14:textId="77777777" w:rsidR="000542ED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переменные и полупостоянные затраты; </w:t>
      </w:r>
    </w:p>
    <w:p w14:paraId="1D9D1ED8" w14:textId="2D7D379F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3. коммерческие и управленческие затраты </w:t>
      </w:r>
    </w:p>
    <w:p w14:paraId="0C445A6B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2FB4FFF7" w14:textId="08B4699D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No16.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Анализ безубыточности основан на зависимости между следующими величинами </w:t>
      </w: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4DCC62BF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доходами от продаж, издержками и прибылью в течение короткого периода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2. доходами от продаж, издержками и прибылью в течение длительного периода 3. издержками и прибылью в течение короткого периода </w:t>
      </w:r>
    </w:p>
    <w:p w14:paraId="34F5262F" w14:textId="2D396ADF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No17. Назовите лишни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методически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инструментарий в рамках диверсификации подходов к учету фактора инфляции в процесса финансового риск-менеджмента </w:t>
      </w:r>
    </w:p>
    <w:p w14:paraId="3BC6A906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4F4F1DC0" w14:textId="440013DF" w:rsidR="002A1AB1" w:rsidRPr="002A1AB1" w:rsidRDefault="003B5265" w:rsidP="000542ED">
      <w:pPr>
        <w:numPr>
          <w:ilvl w:val="0"/>
          <w:numId w:val="9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Методически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="002A1AB1" w:rsidRPr="002A1AB1">
        <w:rPr>
          <w:rFonts w:ascii="TimesNewRomanPSMT" w:eastAsia="Times New Roman" w:hAnsi="TimesNewRomanPSMT" w:cs="Times New Roman"/>
          <w:lang w:eastAsia="ru-RU"/>
        </w:rPr>
        <w:t xml:space="preserve"> инструментарий формирования реально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="002A1AB1" w:rsidRPr="002A1AB1">
        <w:rPr>
          <w:rFonts w:ascii="TimesNewRomanPSMT" w:eastAsia="Times New Roman" w:hAnsi="TimesNewRomanPSMT" w:cs="Times New Roman"/>
          <w:lang w:eastAsia="ru-RU"/>
        </w:rPr>
        <w:t xml:space="preserve"> процентно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="002A1AB1" w:rsidRPr="002A1AB1">
        <w:rPr>
          <w:rFonts w:ascii="TimesNewRomanPSMT" w:eastAsia="Times New Roman" w:hAnsi="TimesNewRomanPSMT" w:cs="Times New Roman"/>
          <w:lang w:eastAsia="ru-RU"/>
        </w:rPr>
        <w:t xml:space="preserve"> ставки с учетом инфляции </w:t>
      </w:r>
    </w:p>
    <w:p w14:paraId="29352F09" w14:textId="7772BBC5" w:rsidR="002A1AB1" w:rsidRPr="002A1AB1" w:rsidRDefault="003B5265" w:rsidP="000542ED">
      <w:pPr>
        <w:numPr>
          <w:ilvl w:val="0"/>
          <w:numId w:val="9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Методически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="002A1AB1" w:rsidRPr="002A1AB1">
        <w:rPr>
          <w:rFonts w:ascii="TimesNewRomanPSMT" w:eastAsia="Times New Roman" w:hAnsi="TimesNewRomanPSMT" w:cs="Times New Roman"/>
          <w:lang w:eastAsia="ru-RU"/>
        </w:rPr>
        <w:t xml:space="preserve"> инструментарий оценки стоимости денежных средств с учетом фактора инфляции </w:t>
      </w:r>
    </w:p>
    <w:p w14:paraId="36D97908" w14:textId="46F4B588" w:rsidR="002A1AB1" w:rsidRPr="002A1AB1" w:rsidRDefault="002A1AB1" w:rsidP="000542ED">
      <w:pPr>
        <w:numPr>
          <w:ilvl w:val="0"/>
          <w:numId w:val="9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Методически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инструментарий формирования необходимого уровня доходности финансовых операций с учетом фактора инфляции </w:t>
      </w:r>
    </w:p>
    <w:p w14:paraId="5004F010" w14:textId="1ACD8F60" w:rsidR="002A1AB1" w:rsidRPr="002A1AB1" w:rsidRDefault="003B5265" w:rsidP="000542ED">
      <w:pPr>
        <w:numPr>
          <w:ilvl w:val="0"/>
          <w:numId w:val="9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lastRenderedPageBreak/>
        <w:t>Методически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="002A1AB1" w:rsidRPr="002A1AB1">
        <w:rPr>
          <w:rFonts w:ascii="TimesNewRomanPSMT" w:eastAsia="Times New Roman" w:hAnsi="TimesNewRomanPSMT" w:cs="Times New Roman"/>
          <w:lang w:eastAsia="ru-RU"/>
        </w:rPr>
        <w:t xml:space="preserve"> инструментарий формирования ключево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="002A1AB1" w:rsidRPr="002A1AB1">
        <w:rPr>
          <w:rFonts w:ascii="TimesNewRomanPSMT" w:eastAsia="Times New Roman" w:hAnsi="TimesNewRomanPSMT" w:cs="Times New Roman"/>
          <w:lang w:eastAsia="ru-RU"/>
        </w:rPr>
        <w:t xml:space="preserve"> ставки с учетом инфляции </w:t>
      </w:r>
    </w:p>
    <w:p w14:paraId="75563ECE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687A6C94" w14:textId="4439B80A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No18. Какого механизма хеджирования не существует </w:t>
      </w:r>
    </w:p>
    <w:p w14:paraId="3BA450A5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3684B250" w14:textId="77777777" w:rsidR="00F934E4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хеджирование фьючерсными контрактами </w:t>
      </w:r>
    </w:p>
    <w:p w14:paraId="29B68C7B" w14:textId="4CA6CFF4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хеджирование с использованием опционов </w:t>
      </w:r>
    </w:p>
    <w:p w14:paraId="3273FF0E" w14:textId="77777777" w:rsidR="00F934E4" w:rsidRDefault="002A1AB1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3. хеджирование с использованием сквозного коносамента </w:t>
      </w:r>
    </w:p>
    <w:p w14:paraId="416D2D42" w14:textId="1BB96568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4. хеджирование с использованием операции </w:t>
      </w:r>
    </w:p>
    <w:p w14:paraId="146E16BE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No19. Если операция хеджирована, то </w:t>
      </w:r>
    </w:p>
    <w:p w14:paraId="5E6B41BA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53C55A14" w14:textId="4AC55B3D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...ее доходность неизвестна, но риски по операции застрахованы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...ее доходность из неизвестно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величины сразу превращается в известную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...возможны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ущерб по операции становится известен заранее и фиксирован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4. ...предприниматель сразу получает будущи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доход, выплачивая премию за риск агенту рынка </w:t>
      </w:r>
    </w:p>
    <w:p w14:paraId="639AC9B9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551DA57A" w14:textId="335F21A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No20. </w:t>
      </w:r>
    </w:p>
    <w:p w14:paraId="6D622EF5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Одним из условий страхования риска является </w:t>
      </w:r>
    </w:p>
    <w:p w14:paraId="6AB04D96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089D5294" w14:textId="4701A70E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риск должен носить случа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>ны</w:t>
      </w:r>
      <w:r w:rsidR="003B5265"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характер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факт наступления риска должен быть заранее известен во времени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наступление страхового случая должно быть связано с волеизъявлением страхователя 4. риск должен носить размер катастрофического бедствия </w:t>
      </w:r>
    </w:p>
    <w:p w14:paraId="6EFE786F" w14:textId="77777777" w:rsidR="000542ED" w:rsidRDefault="000542ED" w:rsidP="000542ED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1675BE80" w14:textId="4A16FD41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No21.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Источник возможного негативного последствия - это </w:t>
      </w:r>
    </w:p>
    <w:p w14:paraId="3E19F9F5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05971475" w14:textId="77777777" w:rsidR="002A1AB1" w:rsidRPr="002A1AB1" w:rsidRDefault="002A1AB1" w:rsidP="000542ED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субъект риска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объект риска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риск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нет верного ответа </w:t>
      </w:r>
    </w:p>
    <w:p w14:paraId="21D9FCB9" w14:textId="77777777" w:rsidR="009549C2" w:rsidRDefault="009549C2"/>
    <w:sectPr w:rsidR="009549C2" w:rsidSect="0050652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437D"/>
    <w:multiLevelType w:val="hybridMultilevel"/>
    <w:tmpl w:val="9CD66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F0E8A"/>
    <w:multiLevelType w:val="multilevel"/>
    <w:tmpl w:val="E9285E4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233A44"/>
    <w:multiLevelType w:val="multilevel"/>
    <w:tmpl w:val="0240A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DC1DD9"/>
    <w:multiLevelType w:val="multilevel"/>
    <w:tmpl w:val="69427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F66A9F"/>
    <w:multiLevelType w:val="multilevel"/>
    <w:tmpl w:val="36FA7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BE4D9D"/>
    <w:multiLevelType w:val="multilevel"/>
    <w:tmpl w:val="9594B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370944"/>
    <w:multiLevelType w:val="hybridMultilevel"/>
    <w:tmpl w:val="962ED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A519A9"/>
    <w:multiLevelType w:val="multilevel"/>
    <w:tmpl w:val="185490C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7F2A55"/>
    <w:multiLevelType w:val="multilevel"/>
    <w:tmpl w:val="67BAB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A7680E"/>
    <w:multiLevelType w:val="multilevel"/>
    <w:tmpl w:val="6CA0C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321FA4"/>
    <w:multiLevelType w:val="multilevel"/>
    <w:tmpl w:val="07C21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9B610AD"/>
    <w:multiLevelType w:val="hybridMultilevel"/>
    <w:tmpl w:val="01DEE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E730BB"/>
    <w:multiLevelType w:val="multilevel"/>
    <w:tmpl w:val="63727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5"/>
  </w:num>
  <w:num w:numId="5">
    <w:abstractNumId w:val="4"/>
  </w:num>
  <w:num w:numId="6">
    <w:abstractNumId w:val="9"/>
  </w:num>
  <w:num w:numId="7">
    <w:abstractNumId w:val="7"/>
  </w:num>
  <w:num w:numId="8">
    <w:abstractNumId w:val="3"/>
  </w:num>
  <w:num w:numId="9">
    <w:abstractNumId w:val="8"/>
  </w:num>
  <w:num w:numId="10">
    <w:abstractNumId w:val="11"/>
  </w:num>
  <w:num w:numId="11">
    <w:abstractNumId w:val="6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AB1"/>
    <w:rsid w:val="000542ED"/>
    <w:rsid w:val="001D284C"/>
    <w:rsid w:val="00233470"/>
    <w:rsid w:val="002A1AB1"/>
    <w:rsid w:val="003B5265"/>
    <w:rsid w:val="004E7413"/>
    <w:rsid w:val="0050652D"/>
    <w:rsid w:val="006D10FB"/>
    <w:rsid w:val="009549C2"/>
    <w:rsid w:val="00EC215B"/>
    <w:rsid w:val="00F831BC"/>
    <w:rsid w:val="00F9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BFA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1A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msonormal0">
    <w:name w:val="msonormal"/>
    <w:basedOn w:val="a"/>
    <w:rsid w:val="002A1A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0542ED"/>
    <w:pPr>
      <w:ind w:left="720"/>
      <w:contextualSpacing/>
    </w:pPr>
  </w:style>
  <w:style w:type="table" w:styleId="a5">
    <w:name w:val="Table Grid"/>
    <w:basedOn w:val="a1"/>
    <w:uiPriority w:val="39"/>
    <w:rsid w:val="00054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1A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msonormal0">
    <w:name w:val="msonormal"/>
    <w:basedOn w:val="a"/>
    <w:rsid w:val="002A1A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0542ED"/>
    <w:pPr>
      <w:ind w:left="720"/>
      <w:contextualSpacing/>
    </w:pPr>
  </w:style>
  <w:style w:type="table" w:styleId="a5">
    <w:name w:val="Table Grid"/>
    <w:basedOn w:val="a1"/>
    <w:uiPriority w:val="39"/>
    <w:rsid w:val="00054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0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8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0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65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5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62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43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2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6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35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7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7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9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89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0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8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32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0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5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0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1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3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1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26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5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51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5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07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5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16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44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3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53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8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06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66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55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3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5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433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7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36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3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3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4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61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7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1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99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7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05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45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7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43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18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9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83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8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1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4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9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6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78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28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90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4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2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65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77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0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2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2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87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22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8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19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83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16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7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2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8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99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84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25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1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42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1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77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1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42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9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77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18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0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1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4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1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1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70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71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1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2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5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28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2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1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25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69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0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1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3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16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76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90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0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1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8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46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5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49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5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96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3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4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72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22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8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8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79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2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3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2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3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1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4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7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5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1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05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2463</Words>
  <Characters>14044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Гришина Анастасия Сергеевна</cp:lastModifiedBy>
  <cp:revision>3</cp:revision>
  <dcterms:created xsi:type="dcterms:W3CDTF">2021-06-10T08:51:00Z</dcterms:created>
  <dcterms:modified xsi:type="dcterms:W3CDTF">2024-04-23T07:17:00Z</dcterms:modified>
</cp:coreProperties>
</file>