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Примерные оценочные материалы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модулю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«Телекоммуникационное оборудование защищенных сетей»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вопроса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приведенных из нижеприведенного списка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Ответ студента оценивается одной из следующих оценок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«отлично»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«хорошо»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«неудовлетворительно»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«удовлетворительно»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без грубых ошибок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Наличие отдельных неточностей в ответах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целом правильные ответы с небольшими неточностями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Некоторое использование в ответах на вопросы материалов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«хорошо»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твердые и достаточно полные знания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Последовательные и правильные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недостаточно развернутые ответы на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ответы на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Ссылки в ответах на вопросы на отдельные материалы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Оценка «отлично»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глубокие исчерпывающие знания всего программного материала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понимание сущности и взаимосвязи рассматриваемых процессов и явлений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Логически последовательные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на все основные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Правильные и конкретные ответы дополнительные вопросы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 в необходимой мере в ответах на вопросы материалов всей рекомендованной литературы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Оценка «неудовлетворительно» выставляется в случае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когда количество неправильных ответов превышает количество допустимых для положительной оценки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Примерный перечень вопросов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Основы построения защищенных сетей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Определение защищенной сети передачи данных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ЗСПД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Основные требования к оборудованию защищенных сетей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Классификация телекоммуникационного оборудования по назначению и уровням модели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OSI.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Топологии защищенных сетей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звезда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кольцо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ячеистая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иерархическая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Достоинства и недостатки каждой топологии с точки зрения безопасности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Демилитаризованная зона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(DMZ):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структура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используемое оборудование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Принципы резервирования оборудования в защищенных сетях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пассивный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Модель угроз для телекоммуникационного оборудования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Основные виды атак на сетевое оборудование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Классификация нарушителей в защищенных сетях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внешний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внутренний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Возможности и ограничения каждой категории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Классы защищенности телекоммуникационного оборудования по требованиям ФСТЭК России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от пятого до первого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Коммутационное и маршрутизирующее оборудование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Защищенные коммутаторы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функции безопасности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(VLAN, ACL, 802.1X, Port Security).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Механизмы защиты от атак на канальном уровне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: MAC-flooding, ARP-spoofing, STP-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атаки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Методы противодействия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(DHCP Snooping, Dynamic ARP Inspection, IP Source Guard).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802.1X (Port-Based Authentication):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компоненты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суппликант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аутентификатор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, RADIUS-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сервер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роль в защите коммутатора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Защищенные маршрутизаторы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функции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протоколы динамической маршрутизации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(OSPF, BGP, RIP)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их уязвимости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Защита протоколов маршрутизации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аутентификация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(MD5, SHA),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фильтрация маршрутов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ограничение количества маршрутов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Виртуальные маршрутизаторы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(VRF):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для изоляции трафика в одном устройстве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Сравнение защищенных коммутаторов и маршрутизаторов отечественного и зарубежного производства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Элтекс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БУЛАТ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, Cisco, Juniper).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Межсетевые экраны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МЭ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VPN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Классификация межсетевых экранов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пакетные фильтры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, stateful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отслеживающие состояние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), NGFW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нового поколения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Межсетевые экраны нового поколения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(NGFW):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функции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(DPI, IDS/IPS,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фильтрация приложений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преимущества перед классическими МЭ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Политики безопасности на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NGFW: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правила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allow/deny/nat,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приоритеты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логика обработки трафика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Топологии включения межсетевого экрана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транспортный режим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мост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шлюз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Достоинства и недостатки каждой топологии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outline w:val="0"/>
          <w:color w:val="0e1114"/>
          <w:sz w:val="28"/>
          <w:szCs w:val="28"/>
          <w:rtl w:val="0"/>
          <w:lang w:val="nl-NL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VPN-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шлюзы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Реализация протоколов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IPsec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TLS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аппаратных криптошлюзах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IPsec: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режимы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транспортный и туннельный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ESP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AH,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области применения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Управление ключами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IPsec: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IKEv1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0F1115"/>
            </w14:solidFill>
          </w14:textFill>
        </w:rPr>
        <w:t xml:space="preserve">IKEv2,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режимы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(main, aggressive, quick),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аутентификация по предварительному ключу и сертификатам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Криптомаршрутизаторы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интегрированное решение маршрутизации и шифрования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отличия от связки «маршрутизатор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+ VPN-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шлюз»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Отечественные решения межсетевого экранирования 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VPN: UserGate, ViPNet Coordinator,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«Континент»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«КриптоПро»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«МАРШРУТ»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Средства обнаружения и предотвращения вторжений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(IDS/IPS)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Системы обнаружения вторжений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(IDS):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классификация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(NIDS, HIDS,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гибридные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компоненты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Методы обнаружения атак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IDS: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сигнатурный анализ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поведенческий анализ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аномалии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обнаружение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Stateful.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Размещение сенсоров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IDS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в защищенной сети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на границе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 сегментах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DMZ). SPAN-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порты и сетевые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TAP-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Системы предотвращения вторжений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(IPS):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отличие от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IDS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активное блокирование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топологии включения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(inline vs. passive).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Проблема ложных срабатываний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(false positives)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IDS/IPS.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Методы снижения и настройки чувствительности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Отечественные системы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IDS/IPS: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«Аргус»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«Рубикон»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, Positive Technologies (PT Network Attack Discovery).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Анализаторы трафика и системы сетевой разведки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(Network Visibility):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протоколы мониторинга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>(NetFlow, sFlow, IPFIX, SNMP).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5.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Специализированное оборудование защищенных сетей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Аппаратные модули безопасности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(HSM):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функции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генерация и хранение ключей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аппаратное шифрование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ускорение криптоопераций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Стандарты взаимодействия 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HSM: PKCS#11, KMIP, Microsoft CNG.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Отечественные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HSM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«КриптоПро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HSM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«Континент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АП»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«Аккорд»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Сетевые диоды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 xml:space="preserve">(data diode):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принцип работы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аппаратная гарантия однонаправленной передачи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применение в АСУ ТП и сетях с высокими требованиями безопасности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Сравнение сетевого диода с традиционными межсетевыми экранами 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VPN.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Примеры оборудования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(Waterfall, Owl Cyber Defense,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НТЦ «Протей»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Защищенное беспроводное оборудование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угрозы для беспроводных сегментов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защищенные точки доступа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Wi-Fi (WPA3-Enterprise, 802.1X, RADIUS).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Системы обнаружения беспроводных вторжений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(WIDS/WIPS):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интеграция с проводной инфраструктурой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Оборудование для квантового распределения ключей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(QKD):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принципы работы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компоненты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источники одиночных фотонов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детекторы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ограничения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дальность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скорость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Интеграция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QKD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 классическими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VPN-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шлюзами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гибридные решения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Примеры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QKD-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оборудования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1115"/>
            </w14:solidFill>
          </w14:textFill>
        </w:rPr>
        <w:t>(ID Quantique, QRate).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6.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Управление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мониторинг и эксплуатация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Протоколы управления телекоммуникационным оборудованием в защищенных сетях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0F1115"/>
            </w14:solidFill>
          </w14:textFill>
        </w:rPr>
        <w:t>: SNMPv3 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шифрование и аутентификация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), NETCONF, RESTCONF, SSH.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Системы сбора и анализа событий безопасности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(SIEM):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назначение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архитектура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подключение источников логов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коммутаторы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маршрутизаторы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МЭ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, IDS/IPS).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Правила корреляции 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SIEM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для обнаружения аномальной активности и комплексных атак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Автоматизация реагирования на инциденты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: SOAR (Security Orchestration, Automation and Response),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интеграция с оборудованием для автоматической изоляции устройств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Оркестрация сетевых политик безопасности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автоматическое закрытие портов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изменение правил МЭ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изоляция скомпрометированного узла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Мониторинг состояния телекоммуникационного оборудования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: SNMP-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ловушки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1115"/>
            </w14:solidFill>
          </w14:textFill>
        </w:rPr>
        <w:t xml:space="preserve">(traps),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опрос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>MIB-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переменных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системы оповещения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Отечественные системы управления безопасностью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1115"/>
            </w14:solidFill>
          </w14:textFill>
        </w:rPr>
        <w:t>: MaxPatrol SIEM, ViPNet Coordinator SIEM, Positive Technologies.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7.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Нормативно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правовая база и сертификация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Нормативно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правовая база РФ в области применения сертифицированного телекоммуникационного оборудования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ФСТЭК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ФСБ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Минобороны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Система сертификации ФСТЭК России для телекоммуникационного оборудования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этапы сертификации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виды сертификатов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Требования к оборудованию для обработки государственной тайны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до степени секретности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и персональных данных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Сертифицированное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vs.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несертифицированное оборудование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риски и ограничения при использовании в государственных и коммерческих системах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Реестр сертифицированного телекоммуникационного оборудования в РФ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Порядок проверки сертификатов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7f7f7f"/>
          <w:sz w:val="28"/>
          <w:szCs w:val="28"/>
          <w:shd w:val="clear" w:color="auto" w:fill="00000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Раздел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8.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Практические аспекты и анализ защищенности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Методика тестирования защищенности телекоммуникационного оборудования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сканирование портов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проверка наличия уязвимостей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анализ конфигурации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Типовые ошибки конфигурации сетевого оборудования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приводящие к уязвимостям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дефолтные пароли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открытые управляющие интерфейсы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неиспользуемые сервисы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).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Жизненный цикл оборудования защищенных сетей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закупка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установка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настройка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эксплуатация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утилизация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Планы непрерывности бизнеса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 xml:space="preserve">(BCP)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для телекоммуникационного оборудования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резервирование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восстановление после сбоев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>процедуры переключения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>.</w:t>
      </w:r>
    </w:p>
    <w:p>
      <w:pPr>
        <w:pStyle w:val="По умолчанию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 w:hint="default"/>
          <w:outline w:val="0"/>
          <w:color w:val="0e1114"/>
          <w:sz w:val="28"/>
          <w:szCs w:val="28"/>
          <w:rtl w:val="0"/>
          <w:lang w:val="ru-RU"/>
          <w14:textFill>
            <w14:solidFill>
              <w14:srgbClr w14:val="0F1115"/>
            </w14:solidFill>
          </w14:textFill>
        </w:rPr>
      </w:pP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1115"/>
            </w14:solidFill>
          </w14:textFill>
        </w:rPr>
        <w:t xml:space="preserve">Оценка производительности защищенного оборудования при включенных механизмах шифрования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de-DE"/>
          <w14:textFill>
            <w14:solidFill>
              <w14:srgbClr w14:val="0F1115"/>
            </w14:solidFill>
          </w14:textFill>
        </w:rPr>
        <w:t xml:space="preserve">(IPsec, MACsec) </w:t>
      </w:r>
      <w:r>
        <w:rPr>
          <w:rFonts w:ascii="Times New Roman" w:hAnsi="Times New Roman" w:hint="default"/>
          <w:outline w:val="0"/>
          <w:color w:val="0e1114"/>
          <w:sz w:val="28"/>
          <w:szCs w:val="28"/>
          <w:shd w:val="clear" w:color="auto" w:fill="ffffff"/>
          <w:rtl w:val="0"/>
          <w14:textFill>
            <w14:solidFill>
              <w14:srgbClr w14:val="0F1115"/>
            </w14:solidFill>
          </w14:textFill>
        </w:rPr>
        <w:t xml:space="preserve">и глубокого анализа пакетов </w:t>
      </w:r>
      <w:r>
        <w:rPr>
          <w:rFonts w:ascii="Times New Roman" w:hAnsi="Times New Roman"/>
          <w:outline w:val="0"/>
          <w:color w:val="0e1114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0F1115"/>
            </w14:solidFill>
          </w14:textFill>
        </w:rPr>
        <w:t>(DPI).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3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5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7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9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18" w:hanging="438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e111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