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DC980" w14:textId="77777777" w:rsidR="007F5280" w:rsidRPr="007F5280" w:rsidRDefault="007F5280" w:rsidP="007F52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7F5280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Примерные оценочные материалы, применяемые при проведении</w:t>
      </w:r>
    </w:p>
    <w:p w14:paraId="4E881E0C" w14:textId="77777777" w:rsidR="007F5280" w:rsidRDefault="007F5280" w:rsidP="007F52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7F5280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промежуточной аттестации по дисциплине (модулю)</w:t>
      </w:r>
    </w:p>
    <w:p w14:paraId="56F59770" w14:textId="77777777" w:rsidR="007F5280" w:rsidRPr="007F5280" w:rsidRDefault="007F5280" w:rsidP="007F52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</w:p>
    <w:p w14:paraId="26BF7ECD" w14:textId="77777777" w:rsidR="007F5280" w:rsidRPr="007F5280" w:rsidRDefault="007F5280" w:rsidP="007F52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7F5280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Теория кодирования и информации</w:t>
      </w:r>
      <w:r w:rsidRPr="007F5280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»</w:t>
      </w:r>
    </w:p>
    <w:p w14:paraId="1B705385" w14:textId="77777777" w:rsidR="007F5280" w:rsidRPr="007F5280" w:rsidRDefault="007F5280" w:rsidP="007F528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lang w:val="ru-RU"/>
        </w:rPr>
      </w:pPr>
    </w:p>
    <w:p w14:paraId="3F40CF03" w14:textId="129FBB76" w:rsidR="007F5280" w:rsidRDefault="007F5280" w:rsidP="007F5280">
      <w:pPr>
        <w:spacing w:after="0" w:line="360" w:lineRule="auto"/>
        <w:jc w:val="center"/>
        <w:rPr>
          <w:rFonts w:ascii="Times New Roman" w:hAnsi="Times New Roman" w:cs="Times New Roman"/>
          <w:b/>
          <w:color w:val="1A1A1A"/>
          <w:sz w:val="28"/>
          <w:szCs w:val="23"/>
          <w:shd w:val="clear" w:color="auto" w:fill="FFFFFF"/>
          <w:lang w:val="ru-RU"/>
        </w:rPr>
      </w:pPr>
      <w:r w:rsidRPr="007F5280">
        <w:rPr>
          <w:rFonts w:ascii="Times New Roman" w:hAnsi="Times New Roman" w:cs="Times New Roman"/>
          <w:b/>
          <w:color w:val="1A1A1A"/>
          <w:sz w:val="28"/>
          <w:szCs w:val="23"/>
          <w:shd w:val="clear" w:color="auto" w:fill="FFFFFF"/>
          <w:lang w:val="ru-RU"/>
        </w:rPr>
        <w:t xml:space="preserve">Примерный перечень вопросов для </w:t>
      </w:r>
      <w:r w:rsidR="002B17C7">
        <w:rPr>
          <w:rFonts w:ascii="Times New Roman" w:hAnsi="Times New Roman" w:cs="Times New Roman"/>
          <w:b/>
          <w:color w:val="1A1A1A"/>
          <w:sz w:val="28"/>
          <w:szCs w:val="23"/>
          <w:shd w:val="clear" w:color="auto" w:fill="FFFFFF"/>
          <w:lang w:val="ru-RU"/>
        </w:rPr>
        <w:t>экзамена</w:t>
      </w:r>
    </w:p>
    <w:p w14:paraId="34527AAF" w14:textId="77777777" w:rsidR="007F5280" w:rsidRPr="007F5280" w:rsidRDefault="007F5280" w:rsidP="007F52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lang w:val="ru-RU"/>
        </w:rPr>
      </w:pPr>
    </w:p>
    <w:p w14:paraId="5B39682F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Неравномерные коды. </w:t>
      </w:r>
      <w:proofErr w:type="gramStart"/>
      <w:r w:rsidRPr="00340BDB">
        <w:rPr>
          <w:sz w:val="28"/>
        </w:rPr>
        <w:t>Коды</w:t>
      </w:r>
      <w:proofErr w:type="gramEnd"/>
      <w:r w:rsidRPr="00340BDB">
        <w:rPr>
          <w:sz w:val="28"/>
        </w:rPr>
        <w:t xml:space="preserve"> требующие и не требующие разделительных элементов между кодовыми словами. Кодовое дерево.</w:t>
      </w:r>
    </w:p>
    <w:p w14:paraId="445EC065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Энтропия ансамбля. Свойства энтропии.</w:t>
      </w:r>
    </w:p>
    <w:p w14:paraId="0207BD0F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Коды по законам комбинаторики. Коды по законам перестановок и размещений. Коды на все сочетания, код постоянного веса. Распределительный код. Корреляционный код. Сменно – качественный код.</w:t>
      </w:r>
    </w:p>
    <w:p w14:paraId="7DEC9E2B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Энтропия двух ансамблей. Условная энтропия, её свойства. Теорема сложения энтропий.</w:t>
      </w:r>
    </w:p>
    <w:p w14:paraId="797CE0E4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Коды Хэмминга с </w:t>
      </w:r>
      <w:r w:rsidRPr="00340BDB">
        <w:rPr>
          <w:position w:val="-12"/>
          <w:sz w:val="28"/>
        </w:rPr>
        <w:object w:dxaOrig="795" w:dyaOrig="360" w14:anchorId="64C73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3" type="#_x0000_t75" style="width:39.35pt;height:18.4pt" o:ole="">
            <v:imagedata r:id="rId6" o:title=""/>
          </v:shape>
          <o:OLEObject Type="Embed" ProgID="Equation.3" ShapeID="_x0000_i1143" DrawAspect="Content" ObjectID="_1843404477" r:id="rId7"/>
        </w:object>
      </w:r>
      <w:r w:rsidRPr="00340BDB">
        <w:rPr>
          <w:sz w:val="28"/>
        </w:rPr>
        <w:t>.</w:t>
      </w:r>
    </w:p>
    <w:p w14:paraId="46CC72C1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Взаимная информация, её свойства.</w:t>
      </w:r>
    </w:p>
    <w:p w14:paraId="2C5B2D8E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Коды Хэмминга с </w:t>
      </w:r>
      <w:r w:rsidRPr="00340BDB">
        <w:rPr>
          <w:position w:val="-12"/>
          <w:sz w:val="28"/>
        </w:rPr>
        <w:object w:dxaOrig="810" w:dyaOrig="360" w14:anchorId="490E3459">
          <v:shape id="_x0000_i1144" type="#_x0000_t75" style="width:40.2pt;height:18.4pt" o:ole="">
            <v:imagedata r:id="rId8" o:title=""/>
          </v:shape>
          <o:OLEObject Type="Embed" ProgID="Equation.3" ShapeID="_x0000_i1144" DrawAspect="Content" ObjectID="_1843404478" r:id="rId9"/>
        </w:object>
      </w:r>
      <w:r w:rsidRPr="00340BDB">
        <w:rPr>
          <w:sz w:val="28"/>
        </w:rPr>
        <w:t>.</w:t>
      </w:r>
    </w:p>
    <w:p w14:paraId="40EF7973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Средняя взаимная информация, её свойства.</w:t>
      </w:r>
    </w:p>
    <w:p w14:paraId="3E131AF4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Линейные коды. Определение. Способы задания. Стандартная расстановка. Способы декодирования. Связь </w:t>
      </w:r>
      <w:r w:rsidRPr="00340BDB">
        <w:rPr>
          <w:position w:val="-12"/>
          <w:sz w:val="28"/>
        </w:rPr>
        <w:object w:dxaOrig="405" w:dyaOrig="360" w14:anchorId="40FB0530">
          <v:shape id="_x0000_i1145" type="#_x0000_t75" style="width:20.1pt;height:18.4pt" o:ole="">
            <v:imagedata r:id="rId10" o:title=""/>
          </v:shape>
          <o:OLEObject Type="Embed" ProgID="Equation.3" ShapeID="_x0000_i1145" DrawAspect="Content" ObjectID="_1843404479" r:id="rId11"/>
        </w:object>
      </w:r>
      <w:r w:rsidRPr="00340BDB">
        <w:rPr>
          <w:sz w:val="28"/>
        </w:rPr>
        <w:t xml:space="preserve"> с минимальным весом нулевого вектора кода. Примеры.</w:t>
      </w:r>
    </w:p>
    <w:p w14:paraId="7DFDC4E0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Энтропия источника непрерывных сообщений. Дифференциальная энтропия.</w:t>
      </w:r>
    </w:p>
    <w:p w14:paraId="0B76B519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Итеративный код </w:t>
      </w:r>
      <w:proofErr w:type="spellStart"/>
      <w:r w:rsidRPr="00340BDB">
        <w:rPr>
          <w:sz w:val="28"/>
        </w:rPr>
        <w:t>Элайса</w:t>
      </w:r>
      <w:proofErr w:type="spellEnd"/>
      <w:r w:rsidRPr="00340BDB">
        <w:rPr>
          <w:sz w:val="28"/>
        </w:rPr>
        <w:t>.</w:t>
      </w:r>
    </w:p>
    <w:p w14:paraId="640E2CF6" w14:textId="771CD608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Производительность дискретного источника информации без памяти. Производительность Марковского источника. Избыточность.</w:t>
      </w:r>
    </w:p>
    <w:p w14:paraId="0EDFD201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Весовой спектр линейного кода. Нумератор весов линейного кода. Тождество Мак – </w:t>
      </w:r>
      <w:proofErr w:type="spellStart"/>
      <w:r w:rsidRPr="00340BDB">
        <w:rPr>
          <w:sz w:val="28"/>
        </w:rPr>
        <w:t>Аильямс</w:t>
      </w:r>
      <w:proofErr w:type="spellEnd"/>
      <w:r w:rsidRPr="00340BDB">
        <w:rPr>
          <w:sz w:val="28"/>
        </w:rPr>
        <w:t xml:space="preserve">. Нумератор весов кода Хэмминга с </w:t>
      </w:r>
      <w:r w:rsidRPr="00340BDB">
        <w:rPr>
          <w:position w:val="-12"/>
          <w:sz w:val="28"/>
        </w:rPr>
        <w:object w:dxaOrig="795" w:dyaOrig="360" w14:anchorId="7902C785">
          <v:shape id="_x0000_i1146" type="#_x0000_t75" style="width:39.35pt;height:18.4pt" o:ole="">
            <v:imagedata r:id="rId6" o:title=""/>
          </v:shape>
          <o:OLEObject Type="Embed" ProgID="Equation.3" ShapeID="_x0000_i1146" DrawAspect="Content" ObjectID="_1843404480" r:id="rId12"/>
        </w:object>
      </w:r>
      <w:r w:rsidRPr="00340BDB">
        <w:rPr>
          <w:sz w:val="28"/>
        </w:rPr>
        <w:t>.</w:t>
      </w:r>
    </w:p>
    <w:p w14:paraId="3B8834C6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lastRenderedPageBreak/>
        <w:t>Взаимная информация для непрерывных сообщений.</w:t>
      </w:r>
    </w:p>
    <w:p w14:paraId="735D638C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Итеративный код.</w:t>
      </w:r>
    </w:p>
    <w:p w14:paraId="60C0E6F8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Пропускная способность симметричного бинарного канала со стиранием.</w:t>
      </w:r>
    </w:p>
    <w:p w14:paraId="6369B4B3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Группа, её аксиоматика. Примеры конечных и бесконечных групп. Разложение группы по подгруппе на смежные классы. Операции над смежными классами. Фактор группа.</w:t>
      </w:r>
    </w:p>
    <w:p w14:paraId="6946137D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Средняя взаимная информация для непрерывн</w:t>
      </w:r>
      <w:bookmarkStart w:id="0" w:name="_GoBack"/>
      <w:bookmarkEnd w:id="0"/>
      <w:r w:rsidRPr="00340BDB">
        <w:rPr>
          <w:sz w:val="28"/>
        </w:rPr>
        <w:t>ых сообщений.</w:t>
      </w:r>
    </w:p>
    <w:p w14:paraId="406681CB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Кольцо, его аксиоматика. Примеры колец. Идеал. Примеры идеалов. Разложение кольца по идеалу на классы вычетов. Кольцо классов вычетов.</w:t>
      </w:r>
    </w:p>
    <w:p w14:paraId="378E2B5A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Дифференциальная энтропия источника непрерывных сообщений. Максимум функционала дифференциальной энтропии при заданном диапазоне случайной величины. Максимум функционала дифференциальной энтропии при заданной мощности источника сообщений.</w:t>
      </w:r>
    </w:p>
    <w:p w14:paraId="6421F708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Поле. Примеры бесконечных и конечных полей. Поле </w:t>
      </w:r>
      <w:r w:rsidRPr="00340BDB">
        <w:rPr>
          <w:position w:val="-10"/>
          <w:sz w:val="28"/>
        </w:rPr>
        <w:object w:dxaOrig="780" w:dyaOrig="315" w14:anchorId="7AAD2549">
          <v:shape id="_x0000_i1147" type="#_x0000_t75" style="width:39.35pt;height:15.9pt" o:ole="">
            <v:imagedata r:id="rId13" o:title=""/>
          </v:shape>
          <o:OLEObject Type="Embed" ProgID="Equation.3" ShapeID="_x0000_i1147" DrawAspect="Content" ObjectID="_1843404481" r:id="rId14"/>
        </w:object>
      </w:r>
      <w:r w:rsidRPr="00340BDB">
        <w:rPr>
          <w:sz w:val="28"/>
        </w:rPr>
        <w:t>.</w:t>
      </w:r>
    </w:p>
    <w:p w14:paraId="060ED7DC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Производительность гауссовского источника сообщений.</w:t>
      </w:r>
    </w:p>
    <w:p w14:paraId="027BC042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Векторное пространство, его аксиоматика. Векторное пространство последовательностей длины </w:t>
      </w:r>
      <w:r w:rsidRPr="00340BDB">
        <w:rPr>
          <w:position w:val="-6"/>
          <w:sz w:val="28"/>
        </w:rPr>
        <w:object w:dxaOrig="195" w:dyaOrig="210" w14:anchorId="5F7C57FB">
          <v:shape id="_x0000_i1148" type="#_x0000_t75" style="width:10.05pt;height:10.9pt" o:ole="">
            <v:imagedata r:id="rId15" o:title=""/>
          </v:shape>
          <o:OLEObject Type="Embed" ProgID="Equation.3" ShapeID="_x0000_i1148" DrawAspect="Content" ObjectID="_1843404482" r:id="rId16"/>
        </w:object>
      </w:r>
      <w:r w:rsidRPr="00340BDB">
        <w:rPr>
          <w:sz w:val="28"/>
        </w:rPr>
        <w:t xml:space="preserve">. Линейная ассоциативная алгебра, её аксиоматика. Алгебра последовательностей длины </w:t>
      </w:r>
      <w:r w:rsidRPr="00340BDB">
        <w:rPr>
          <w:position w:val="-6"/>
          <w:sz w:val="28"/>
        </w:rPr>
        <w:object w:dxaOrig="195" w:dyaOrig="210" w14:anchorId="404818C4">
          <v:shape id="_x0000_i1149" type="#_x0000_t75" style="width:10.05pt;height:10.9pt" o:ole="">
            <v:imagedata r:id="rId15" o:title=""/>
          </v:shape>
          <o:OLEObject Type="Embed" ProgID="Equation.3" ShapeID="_x0000_i1149" DrawAspect="Content" ObjectID="_1843404483" r:id="rId17"/>
        </w:object>
      </w:r>
      <w:r w:rsidRPr="00340BDB">
        <w:rPr>
          <w:sz w:val="28"/>
        </w:rPr>
        <w:t>.</w:t>
      </w:r>
    </w:p>
    <w:p w14:paraId="608B5354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Формула Шеннона – </w:t>
      </w:r>
      <w:proofErr w:type="spellStart"/>
      <w:r w:rsidRPr="00340BDB">
        <w:rPr>
          <w:sz w:val="28"/>
        </w:rPr>
        <w:t>Таллера</w:t>
      </w:r>
      <w:proofErr w:type="spellEnd"/>
      <w:r w:rsidRPr="00340BDB">
        <w:rPr>
          <w:sz w:val="28"/>
        </w:rPr>
        <w:t xml:space="preserve"> (пропускная способность гауссовского канала).</w:t>
      </w:r>
    </w:p>
    <w:p w14:paraId="5C08B5ED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Группа многочленов. Кольцо многочленов. Идеал в кольце многочленов. Разложение кольца многочленов по идеалу на классы вычетов. Идеал в кольце классов вычетов.</w:t>
      </w:r>
    </w:p>
    <w:p w14:paraId="553831F8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Максимум функционала дифференциальной энтропии при заданной мощности источника сообщений.</w:t>
      </w:r>
    </w:p>
    <w:p w14:paraId="67E1CE02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Циклические коды, их определение. Какую алгебраическую конструкцию образует циклический код? (Доказать). Порождающая и проверочная матрица несистематического циклического кода. Алгоритм </w:t>
      </w:r>
      <w:r w:rsidRPr="00340BDB">
        <w:rPr>
          <w:sz w:val="28"/>
        </w:rPr>
        <w:lastRenderedPageBreak/>
        <w:t>задания несистематического циклического кода. Кодер, схема обнаружения ошибки.</w:t>
      </w:r>
    </w:p>
    <w:p w14:paraId="5CA9178A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Код </w:t>
      </w:r>
      <w:proofErr w:type="spellStart"/>
      <w:r w:rsidRPr="00340BDB">
        <w:rPr>
          <w:sz w:val="28"/>
        </w:rPr>
        <w:t>Фано</w:t>
      </w:r>
      <w:proofErr w:type="spellEnd"/>
      <w:r w:rsidRPr="00340BDB">
        <w:rPr>
          <w:sz w:val="28"/>
        </w:rPr>
        <w:t xml:space="preserve"> – Шеннона. Пример построения. Основная теорема кодирования.</w:t>
      </w:r>
    </w:p>
    <w:p w14:paraId="5DF8E9CA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Порождающая матрица систематического циклического кода. Алгоритм задания систематического циклического кода. Кодер систематического циклического кода. Схема обнаружения ошибки.</w:t>
      </w:r>
    </w:p>
    <w:p w14:paraId="312DD05D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Метод </w:t>
      </w:r>
      <w:proofErr w:type="spellStart"/>
      <w:r w:rsidRPr="00340BDB">
        <w:rPr>
          <w:sz w:val="28"/>
        </w:rPr>
        <w:t>Хаффмена</w:t>
      </w:r>
      <w:proofErr w:type="spellEnd"/>
      <w:r w:rsidRPr="00340BDB">
        <w:rPr>
          <w:sz w:val="28"/>
        </w:rPr>
        <w:t>. Основная теорема кодирования, понятие о блочном статистическом кодировании.</w:t>
      </w:r>
    </w:p>
    <w:p w14:paraId="459F3B6E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Показатели достоверности приёма информации. Формулы для вычисления показателей достоверности. Оценки показателей достоверности.</w:t>
      </w:r>
    </w:p>
    <w:p w14:paraId="08B7B4EB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БЧХ – коды.</w:t>
      </w:r>
    </w:p>
    <w:p w14:paraId="0AA45991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Линейные переключательные схемы умножения (два вида), деления, одновременного умножения и деления многочленов.</w:t>
      </w:r>
    </w:p>
    <w:p w14:paraId="5E0CBA02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Поле </w:t>
      </w:r>
      <w:r w:rsidRPr="00340BDB">
        <w:rPr>
          <w:position w:val="-10"/>
          <w:sz w:val="28"/>
        </w:rPr>
        <w:object w:dxaOrig="945" w:dyaOrig="360" w14:anchorId="28EAF637">
          <v:shape id="_x0000_i1150" type="#_x0000_t75" style="width:46.9pt;height:18.4pt" o:ole="">
            <v:imagedata r:id="rId18" o:title=""/>
          </v:shape>
          <o:OLEObject Type="Embed" ProgID="Equation.3" ShapeID="_x0000_i1150" DrawAspect="Content" ObjectID="_1843404484" r:id="rId19"/>
        </w:object>
      </w:r>
      <w:r w:rsidRPr="00340BDB">
        <w:rPr>
          <w:sz w:val="28"/>
        </w:rPr>
        <w:t>.</w:t>
      </w:r>
    </w:p>
    <w:p w14:paraId="2948D09F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Помехи и их классификация.</w:t>
      </w:r>
    </w:p>
    <w:p w14:paraId="69781AD5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Условная энтропия, её свойства.</w:t>
      </w:r>
    </w:p>
    <w:p w14:paraId="3FAA4AA0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Определение вероятности ошибки на символ при передаче двоичной информации с пассивной паузой: </w:t>
      </w:r>
      <w:r w:rsidRPr="00340BDB">
        <w:rPr>
          <w:position w:val="-24"/>
          <w:sz w:val="28"/>
        </w:rPr>
        <w:object w:dxaOrig="1920" w:dyaOrig="630" w14:anchorId="58F45BBE">
          <v:shape id="_x0000_i1151" type="#_x0000_t75" style="width:96.3pt;height:31.8pt" o:ole="">
            <v:imagedata r:id="rId20" o:title=""/>
          </v:shape>
          <o:OLEObject Type="Embed" ProgID="Equation.3" ShapeID="_x0000_i1151" DrawAspect="Content" ObjectID="_1843404485" r:id="rId21"/>
        </w:object>
      </w:r>
      <w:r w:rsidRPr="00340BDB">
        <w:rPr>
          <w:sz w:val="28"/>
        </w:rPr>
        <w:t xml:space="preserve">.  Уровень сигнала равен </w:t>
      </w:r>
      <w:r w:rsidRPr="00340BDB">
        <w:rPr>
          <w:position w:val="-6"/>
          <w:sz w:val="28"/>
        </w:rPr>
        <w:object w:dxaOrig="210" w:dyaOrig="285" w14:anchorId="317077F8">
          <v:shape id="_x0000_i1152" type="#_x0000_t75" style="width:10.9pt;height:14.25pt" o:ole="">
            <v:imagedata r:id="rId22" o:title=""/>
          </v:shape>
          <o:OLEObject Type="Embed" ProgID="Equation.3" ShapeID="_x0000_i1152" DrawAspect="Content" ObjectID="_1843404486" r:id="rId23"/>
        </w:object>
      </w:r>
      <w:r w:rsidRPr="00340BDB">
        <w:rPr>
          <w:sz w:val="28"/>
        </w:rPr>
        <w:t xml:space="preserve">. Помеха аддитивная гауссовская. Мощность помехи </w:t>
      </w:r>
      <w:r w:rsidRPr="00340BDB">
        <w:rPr>
          <w:position w:val="-12"/>
          <w:sz w:val="28"/>
        </w:rPr>
        <w:object w:dxaOrig="345" w:dyaOrig="390" w14:anchorId="42B726CE">
          <v:shape id="_x0000_i1153" type="#_x0000_t75" style="width:17.6pt;height:19.25pt" o:ole="">
            <v:imagedata r:id="rId24" o:title=""/>
          </v:shape>
          <o:OLEObject Type="Embed" ProgID="Equation.3" ShapeID="_x0000_i1153" DrawAspect="Content" ObjectID="_1843404487" r:id="rId25"/>
        </w:object>
      </w:r>
      <w:r w:rsidRPr="00340BDB">
        <w:rPr>
          <w:sz w:val="28"/>
        </w:rPr>
        <w:t xml:space="preserve">. Определить оптимальное значение порога </w:t>
      </w:r>
      <w:r w:rsidRPr="00340BDB">
        <w:rPr>
          <w:position w:val="-4"/>
          <w:sz w:val="28"/>
        </w:rPr>
        <w:object w:dxaOrig="285" w:dyaOrig="255" w14:anchorId="07589225">
          <v:shape id="_x0000_i1154" type="#_x0000_t75" style="width:14.25pt;height:12.55pt" o:ole="">
            <v:imagedata r:id="rId26" o:title=""/>
          </v:shape>
          <o:OLEObject Type="Embed" ProgID="Equation.3" ShapeID="_x0000_i1154" DrawAspect="Content" ObjectID="_1843404488" r:id="rId27"/>
        </w:object>
      </w:r>
      <w:r w:rsidRPr="00340BDB">
        <w:rPr>
          <w:sz w:val="28"/>
        </w:rPr>
        <w:t xml:space="preserve"> по критерию минимума вероятности ошибки.</w:t>
      </w:r>
    </w:p>
    <w:p w14:paraId="02FDAF86" w14:textId="77777777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Энтропия ансамбля. Свойства энтропии.</w:t>
      </w:r>
    </w:p>
    <w:p w14:paraId="59436186" w14:textId="4F4EAB41" w:rsidR="0094147D" w:rsidRPr="00340BDB" w:rsidRDefault="0094147D" w:rsidP="007F5280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 xml:space="preserve">Коды с </w:t>
      </w:r>
      <w:r w:rsidRPr="00340BDB">
        <w:rPr>
          <w:sz w:val="28"/>
          <w:lang w:val="en-US"/>
        </w:rPr>
        <w:t>h</w:t>
      </w:r>
      <w:r w:rsidRPr="00340BDB">
        <w:rPr>
          <w:sz w:val="28"/>
        </w:rPr>
        <w:t xml:space="preserve"> – кратным повторением. Порожда</w:t>
      </w:r>
      <w:r w:rsidR="00ED6E30">
        <w:rPr>
          <w:sz w:val="28"/>
        </w:rPr>
        <w:t>ющая и проверочная матрица.</w:t>
      </w:r>
      <w:r w:rsidRPr="00340BDB">
        <w:rPr>
          <w:sz w:val="28"/>
        </w:rPr>
        <w:t xml:space="preserve"> Мажоритарное декодирование. </w:t>
      </w:r>
    </w:p>
    <w:p w14:paraId="09013437" w14:textId="77777777" w:rsidR="007D4BB4" w:rsidRDefault="0094147D" w:rsidP="007F5280">
      <w:pPr>
        <w:pStyle w:val="a3"/>
        <w:numPr>
          <w:ilvl w:val="0"/>
          <w:numId w:val="1"/>
        </w:numPr>
        <w:tabs>
          <w:tab w:val="left" w:pos="708"/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340BDB">
        <w:rPr>
          <w:sz w:val="28"/>
        </w:rPr>
        <w:t>Энтропия Марковского источника дискретных сообщений.</w:t>
      </w:r>
    </w:p>
    <w:p w14:paraId="4F6E28B8" w14:textId="284BE678" w:rsidR="00ED6E30" w:rsidRDefault="00ED6E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sectPr w:rsidR="00ED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B5912"/>
    <w:multiLevelType w:val="hybridMultilevel"/>
    <w:tmpl w:val="0A4ED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C0D44"/>
    <w:multiLevelType w:val="hybridMultilevel"/>
    <w:tmpl w:val="C58C490C"/>
    <w:lvl w:ilvl="0" w:tplc="03A8A0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BA66D47"/>
    <w:multiLevelType w:val="hybridMultilevel"/>
    <w:tmpl w:val="E878C6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E2B"/>
    <w:rsid w:val="002B17C7"/>
    <w:rsid w:val="00340BDB"/>
    <w:rsid w:val="007D4BB4"/>
    <w:rsid w:val="007E6E85"/>
    <w:rsid w:val="007F5280"/>
    <w:rsid w:val="0094147D"/>
    <w:rsid w:val="00DB5E2B"/>
    <w:rsid w:val="00ED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11A6"/>
  <w15:docId w15:val="{4F51C33A-CF1E-45EE-A6F7-AB6DBD83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47D"/>
    <w:pPr>
      <w:spacing w:after="160" w:line="25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ED6E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u w:val="single"/>
      <w:lang w:val="ru-RU" w:eastAsia="ru-RU"/>
    </w:rPr>
  </w:style>
  <w:style w:type="paragraph" w:styleId="2">
    <w:name w:val="heading 2"/>
    <w:basedOn w:val="a"/>
    <w:next w:val="a"/>
    <w:link w:val="20"/>
    <w:qFormat/>
    <w:rsid w:val="00ED6E3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4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rsid w:val="00ED6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E30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ED6E30"/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D6E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ED6E30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ru-RU" w:eastAsia="ru-RU"/>
    </w:rPr>
  </w:style>
  <w:style w:type="character" w:customStyle="1" w:styleId="a8">
    <w:name w:val="Заголовок Знак"/>
    <w:basedOn w:val="a0"/>
    <w:link w:val="a7"/>
    <w:rsid w:val="00ED6E30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9">
    <w:name w:val="Body Text"/>
    <w:basedOn w:val="a"/>
    <w:link w:val="aa"/>
    <w:semiHidden/>
    <w:rsid w:val="00ED6E30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semiHidden/>
    <w:rsid w:val="00ED6E30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46060-4D3C-417C-AEC8-5DAB8C78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9</cp:revision>
  <dcterms:created xsi:type="dcterms:W3CDTF">2016-08-18T13:30:00Z</dcterms:created>
  <dcterms:modified xsi:type="dcterms:W3CDTF">2026-06-19T16:59:00Z</dcterms:modified>
</cp:coreProperties>
</file>