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7556E4" w:rsidP="00755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«Управление изменениями в наукоемких компаниях»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56E4">
        <w:rPr>
          <w:rFonts w:ascii="Times New Roman" w:hAnsi="Times New Roman" w:cs="Times New Roman"/>
          <w:sz w:val="28"/>
          <w:szCs w:val="28"/>
        </w:rPr>
        <w:t>Комплексный, интеграционный, ситуационный, маркетинговый, нормативный, поведенческий и функциональный подходы к исследованию изменений. Взаимодействие организации с окружающей средой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Роль факторов внешней среды в управлении изменениями: теория монополистической конкуренции (</w:t>
      </w:r>
      <w:proofErr w:type="spellStart"/>
      <w:r w:rsidRPr="007556E4">
        <w:rPr>
          <w:rFonts w:ascii="Times New Roman" w:hAnsi="Times New Roman" w:cs="Times New Roman"/>
          <w:sz w:val="28"/>
          <w:szCs w:val="28"/>
        </w:rPr>
        <w:t>Д.Робинсон</w:t>
      </w:r>
      <w:proofErr w:type="spellEnd"/>
      <w:r w:rsidRPr="007556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56E4">
        <w:rPr>
          <w:rFonts w:ascii="Times New Roman" w:hAnsi="Times New Roman" w:cs="Times New Roman"/>
          <w:sz w:val="28"/>
          <w:szCs w:val="28"/>
        </w:rPr>
        <w:t>Э.Чемберлин</w:t>
      </w:r>
      <w:proofErr w:type="spellEnd"/>
      <w:r w:rsidRPr="007556E4">
        <w:rPr>
          <w:rFonts w:ascii="Times New Roman" w:hAnsi="Times New Roman" w:cs="Times New Roman"/>
          <w:sz w:val="28"/>
          <w:szCs w:val="28"/>
        </w:rPr>
        <w:t>)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Теория ресурсной зависимости (</w:t>
      </w:r>
      <w:proofErr w:type="spellStart"/>
      <w:r w:rsidRPr="007556E4">
        <w:rPr>
          <w:rFonts w:ascii="Times New Roman" w:hAnsi="Times New Roman" w:cs="Times New Roman"/>
          <w:sz w:val="28"/>
          <w:szCs w:val="28"/>
        </w:rPr>
        <w:t>К.Акъоно</w:t>
      </w:r>
      <w:proofErr w:type="spellEnd"/>
      <w:r w:rsidRPr="007556E4">
        <w:rPr>
          <w:rFonts w:ascii="Times New Roman" w:hAnsi="Times New Roman" w:cs="Times New Roman"/>
          <w:sz w:val="28"/>
          <w:szCs w:val="28"/>
        </w:rPr>
        <w:t>)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Теория операционных (транзакционных) издержек (</w:t>
      </w:r>
      <w:proofErr w:type="spellStart"/>
      <w:r w:rsidRPr="007556E4">
        <w:rPr>
          <w:rFonts w:ascii="Times New Roman" w:hAnsi="Times New Roman" w:cs="Times New Roman"/>
          <w:sz w:val="28"/>
          <w:szCs w:val="28"/>
        </w:rPr>
        <w:t>Р.Коуз</w:t>
      </w:r>
      <w:proofErr w:type="spellEnd"/>
      <w:r w:rsidRPr="007556E4">
        <w:rPr>
          <w:rFonts w:ascii="Times New Roman" w:hAnsi="Times New Roman" w:cs="Times New Roman"/>
          <w:sz w:val="28"/>
          <w:szCs w:val="28"/>
        </w:rPr>
        <w:t>)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Популяционно-экологическая теория (теория естественного отбора)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Теория формирования жизнеспособной структуры (</w:t>
      </w:r>
      <w:proofErr w:type="spellStart"/>
      <w:r w:rsidRPr="007556E4">
        <w:rPr>
          <w:rFonts w:ascii="Times New Roman" w:hAnsi="Times New Roman" w:cs="Times New Roman"/>
          <w:sz w:val="28"/>
          <w:szCs w:val="28"/>
        </w:rPr>
        <w:t>Г.Минцберг</w:t>
      </w:r>
      <w:proofErr w:type="spellEnd"/>
      <w:r w:rsidRPr="007556E4">
        <w:rPr>
          <w:rFonts w:ascii="Times New Roman" w:hAnsi="Times New Roman" w:cs="Times New Roman"/>
          <w:sz w:val="28"/>
          <w:szCs w:val="28"/>
        </w:rPr>
        <w:t>)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Теория рациональной случайности (теория случайных трансформаций)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Теория «социального партнерства»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Виды изменений и их причины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Политики изменений: директивная политика, политика переговоров, политика достижения общих целей, аналитическая политика, политика проб и ошибок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Модели управления изменениями: модели переходного периода, модель постепенного наращивания, модель EASIER, модель управления изменениями с позиций процессно-системного подхода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Принятие решений при управлении изменениями в организации: модель Карнеги, модель инкрементального процесса принятия решений, модель «мусорного ящика»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 xml:space="preserve">Модели жизненных циклов организации: модель И. </w:t>
      </w:r>
      <w:proofErr w:type="spellStart"/>
      <w:r w:rsidRPr="007556E4">
        <w:rPr>
          <w:rFonts w:ascii="Times New Roman" w:hAnsi="Times New Roman" w:cs="Times New Roman"/>
          <w:sz w:val="28"/>
          <w:szCs w:val="28"/>
        </w:rPr>
        <w:t>Адизеса</w:t>
      </w:r>
      <w:proofErr w:type="spellEnd"/>
      <w:r w:rsidRPr="007556E4">
        <w:rPr>
          <w:rFonts w:ascii="Times New Roman" w:hAnsi="Times New Roman" w:cs="Times New Roman"/>
          <w:sz w:val="28"/>
          <w:szCs w:val="28"/>
        </w:rPr>
        <w:t xml:space="preserve">, А.И. Пригожина, модель организационного развития Л. Данко, модель развития и кризисов роста Л. </w:t>
      </w:r>
      <w:proofErr w:type="spellStart"/>
      <w:r w:rsidRPr="007556E4">
        <w:rPr>
          <w:rFonts w:ascii="Times New Roman" w:hAnsi="Times New Roman" w:cs="Times New Roman"/>
          <w:sz w:val="28"/>
          <w:szCs w:val="28"/>
        </w:rPr>
        <w:t>Грейнера</w:t>
      </w:r>
      <w:proofErr w:type="spellEnd"/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Управление изменениями по этапам жизненного цикла организации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Управление изменениями организационных структур по стадиям жизненного цикла организации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Сущность организационного проектирования. Основные этапы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Организационный проект и его виды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Концепция организационного проектирования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 xml:space="preserve">Организация как объект </w:t>
      </w:r>
      <w:proofErr w:type="spellStart"/>
      <w:r w:rsidRPr="007556E4">
        <w:rPr>
          <w:rFonts w:ascii="Times New Roman" w:hAnsi="Times New Roman" w:cs="Times New Roman"/>
          <w:sz w:val="28"/>
          <w:szCs w:val="28"/>
        </w:rPr>
        <w:t>оргпроектирования</w:t>
      </w:r>
      <w:proofErr w:type="spellEnd"/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Принципы проектирования организации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Системный подход к проектированию организационной структуры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Ситуационный подход к проектированию организации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Этапы построения и проектирования новой организации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Подходы к построению организационных структур управления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Проектирование изменений в функционирующей организации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lastRenderedPageBreak/>
        <w:t>Этапы организационного проектирования в функционирующей организации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 xml:space="preserve">Анализ существующей структуры организации как один из элементов </w:t>
      </w:r>
      <w:proofErr w:type="spellStart"/>
      <w:r w:rsidRPr="007556E4">
        <w:rPr>
          <w:rFonts w:ascii="Times New Roman" w:hAnsi="Times New Roman" w:cs="Times New Roman"/>
          <w:sz w:val="28"/>
          <w:szCs w:val="28"/>
        </w:rPr>
        <w:t>оргпроектирования</w:t>
      </w:r>
      <w:proofErr w:type="spellEnd"/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Основные принципы диагностирования организации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Формирование общей структурной схемы (композиции) организации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Разработка состава подразделений в организации и связей между ними (структуризация)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Определение порядка функционирования системы управления (регламентация) в организации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Виды структуры организационных подразделений и их аппаратов управления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Методы организационного проектирования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Ресурсы для изменения и развития организаций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Принцип синергетики в организации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Необходимые условия: организации сильной команды и совершенствования стиля управления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Модель организационных изменений К. Левина: размораживание – изменение – замораживание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Матрица проведения изменений Д. Пью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Обратная связь в организационном развитии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Организационное развитие и самообучающейся организация. Обучение и научение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 xml:space="preserve">Двойная петля научения К. </w:t>
      </w:r>
      <w:proofErr w:type="spellStart"/>
      <w:r w:rsidRPr="007556E4">
        <w:rPr>
          <w:rFonts w:ascii="Times New Roman" w:hAnsi="Times New Roman" w:cs="Times New Roman"/>
          <w:sz w:val="28"/>
          <w:szCs w:val="28"/>
        </w:rPr>
        <w:t>Арджириса</w:t>
      </w:r>
      <w:proofErr w:type="spellEnd"/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Характеристики самообучающейся организации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Источники сопротивления изменениям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Методы снятия сопротивления изменениям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>Принципы вовлеченности сотрудников Д. Пью</w:t>
      </w:r>
    </w:p>
    <w:p w:rsidR="007556E4" w:rsidRPr="007556E4" w:rsidRDefault="007556E4" w:rsidP="007556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6E4">
        <w:rPr>
          <w:rFonts w:ascii="Times New Roman" w:hAnsi="Times New Roman" w:cs="Times New Roman"/>
          <w:sz w:val="28"/>
          <w:szCs w:val="28"/>
        </w:rPr>
        <w:t xml:space="preserve">Метод снятия сопротивления изменениям </w:t>
      </w:r>
      <w:proofErr w:type="spellStart"/>
      <w:r w:rsidRPr="007556E4">
        <w:rPr>
          <w:rFonts w:ascii="Times New Roman" w:hAnsi="Times New Roman" w:cs="Times New Roman"/>
          <w:sz w:val="28"/>
          <w:szCs w:val="28"/>
        </w:rPr>
        <w:t>Коттера-Шлезингера</w:t>
      </w:r>
      <w:bookmarkEnd w:id="0"/>
      <w:proofErr w:type="spellEnd"/>
    </w:p>
    <w:sectPr w:rsidR="007556E4" w:rsidRPr="0075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6540A"/>
    <w:multiLevelType w:val="hybridMultilevel"/>
    <w:tmpl w:val="7D9E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E4"/>
    <w:rsid w:val="005B1A74"/>
    <w:rsid w:val="007556E4"/>
    <w:rsid w:val="008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C6BB"/>
  <w15:chartTrackingRefBased/>
  <w15:docId w15:val="{ED4D77D2-C02D-49DB-AE88-B3F57FEC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2026-02-12T09:17:00Z</dcterms:created>
  <dcterms:modified xsi:type="dcterms:W3CDTF">2026-02-12T09:20:00Z</dcterms:modified>
</cp:coreProperties>
</file>