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77D" w:rsidRDefault="00B4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77D">
        <w:rPr>
          <w:rFonts w:ascii="Times New Roman" w:hAnsi="Times New Roman"/>
          <w:b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 "Инструменты управления качеством инноваций"</w:t>
      </w:r>
    </w:p>
    <w:p w:rsidR="00497D91" w:rsidRDefault="00D53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Студент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проведении зачета должен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дать  ответ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2 вопроса из списка</w:t>
      </w:r>
    </w:p>
    <w:p w:rsidR="00497D91" w:rsidRDefault="00497D91">
      <w:pPr>
        <w:tabs>
          <w:tab w:val="left" w:pos="1271"/>
        </w:tabs>
        <w:ind w:hanging="143"/>
        <w:jc w:val="center"/>
        <w:rPr>
          <w:rFonts w:ascii="Times New Roman" w:hAnsi="Times New Roman" w:cs="Times New Roman"/>
          <w:sz w:val="28"/>
        </w:rPr>
      </w:pP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Прмерный</w:t>
      </w:r>
      <w:proofErr w:type="spellEnd"/>
      <w:r>
        <w:rPr>
          <w:sz w:val="28"/>
        </w:rPr>
        <w:t xml:space="preserve"> перечень вопросов к зачету</w:t>
      </w:r>
    </w:p>
    <w:p w:rsidR="00497D91" w:rsidRDefault="00497D91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Сравнительная характеристика инструментов управления качеством Тейлора и </w:t>
      </w:r>
      <w:proofErr w:type="spellStart"/>
      <w:r>
        <w:rPr>
          <w:sz w:val="28"/>
        </w:rPr>
        <w:t>Шухарта</w:t>
      </w:r>
      <w:proofErr w:type="spellEnd"/>
      <w:r>
        <w:rPr>
          <w:sz w:val="28"/>
        </w:rPr>
        <w:t>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2. Основные принципы, на которых строится система менеджмента качества.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3. Инструменты СМК в системе TQM.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Сущность  метода</w:t>
      </w:r>
      <w:proofErr w:type="gramEnd"/>
      <w:r>
        <w:rPr>
          <w:sz w:val="28"/>
        </w:rPr>
        <w:t xml:space="preserve"> управления качеством «дом качества».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5. Наиболее</w:t>
      </w:r>
      <w:r>
        <w:rPr>
          <w:sz w:val="28"/>
        </w:rPr>
        <w:t xml:space="preserve"> известные в мире системы управления качеством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6. Общее и различие системы стандартов ISO и TQM.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7. Инструменты менеджмента качества, используемые при работе с данными процессов и характеристиками качества выполняемых работ.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8. Оценочные критерии характери</w:t>
      </w:r>
      <w:r>
        <w:rPr>
          <w:sz w:val="28"/>
        </w:rPr>
        <w:t>зуются входные элементы бизнес-процессов.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9. Качество управляющих воздействий на бизнес-процесс.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10. Критерии результативности и характеристика выходных параметров процесса.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11. Исходные ресурсы бизнес-процессов.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12. Примеры производных ресурсов для осущес</w:t>
      </w:r>
      <w:r>
        <w:rPr>
          <w:sz w:val="28"/>
        </w:rPr>
        <w:t>твления действий в бизнес-процессах. инструментальные средства формализации бизнес-процесса.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13. Формы графического представления действий в бизнес- процессах, инструментальные средства формализации бизнес-процесса.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14. Распределение ответственности за рез</w:t>
      </w:r>
      <w:r>
        <w:rPr>
          <w:sz w:val="28"/>
        </w:rPr>
        <w:t xml:space="preserve">ультаты работы между участниками рассматриваемого </w:t>
      </w:r>
      <w:proofErr w:type="gramStart"/>
      <w:r>
        <w:rPr>
          <w:sz w:val="28"/>
        </w:rPr>
        <w:t>бизнес процесса</w:t>
      </w:r>
      <w:proofErr w:type="gramEnd"/>
      <w:r>
        <w:rPr>
          <w:sz w:val="28"/>
        </w:rPr>
        <w:t>, использование матрицы ответственности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15. Методы улучшения (реинжиниринга) бизнес-процессов.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16. Сущность метода «пяти вопросов»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17. Параметры качества в характеристике технологического </w:t>
      </w:r>
      <w:r>
        <w:rPr>
          <w:sz w:val="28"/>
        </w:rPr>
        <w:t>процесса.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18. Входные и выходные параметры технологического процесса.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19. Диаграмма Исикавы.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20. Диаграмма Парето.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21. </w:t>
      </w:r>
      <w:r>
        <w:rPr>
          <w:sz w:val="28"/>
          <w:lang w:val="en-US"/>
        </w:rPr>
        <w:t>FMEA</w:t>
      </w:r>
      <w:r>
        <w:rPr>
          <w:sz w:val="28"/>
        </w:rPr>
        <w:t>-анализ.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22. Идея Вальтера </w:t>
      </w:r>
      <w:proofErr w:type="spellStart"/>
      <w:r>
        <w:rPr>
          <w:sz w:val="28"/>
        </w:rPr>
        <w:t>Шухарта</w:t>
      </w:r>
      <w:proofErr w:type="spellEnd"/>
      <w:r>
        <w:rPr>
          <w:sz w:val="28"/>
        </w:rPr>
        <w:t xml:space="preserve"> по оценке параметров разброса вариабельности показателей процесса.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23. Контрольные границы карт </w:t>
      </w:r>
      <w:proofErr w:type="spellStart"/>
      <w:r>
        <w:rPr>
          <w:sz w:val="28"/>
        </w:rPr>
        <w:t>Шу</w:t>
      </w:r>
      <w:r>
        <w:rPr>
          <w:sz w:val="28"/>
        </w:rPr>
        <w:t>харта</w:t>
      </w:r>
      <w:proofErr w:type="spellEnd"/>
      <w:r>
        <w:rPr>
          <w:sz w:val="28"/>
        </w:rPr>
        <w:t>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24. Определение и обоснование необходимого объема выборки исследуемых параметров.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25. Параметры качества бизнес-процесса.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26. Диаграмма рассеяния.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27. Способы регулирования качества технологических процессов с помощью карт </w:t>
      </w:r>
      <w:proofErr w:type="spellStart"/>
      <w:r>
        <w:rPr>
          <w:sz w:val="28"/>
        </w:rPr>
        <w:t>Шухарта</w:t>
      </w:r>
      <w:proofErr w:type="spellEnd"/>
      <w:r>
        <w:rPr>
          <w:sz w:val="28"/>
        </w:rPr>
        <w:t xml:space="preserve"> и индексов </w:t>
      </w:r>
      <w:r>
        <w:rPr>
          <w:sz w:val="28"/>
        </w:rPr>
        <w:t>возможностей.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28. Особенности приемочных контрольных карт.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29. Отличие добровольной и принудительной сертификации продукции, услуг и производственной деятельности.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30. Выгоды сертифицированного предприятия.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31. Диаграмма сродства.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32. Диаграмма дерева целе</w:t>
      </w:r>
      <w:r>
        <w:rPr>
          <w:sz w:val="28"/>
        </w:rPr>
        <w:t>й.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33. Порядок подготовки предприятия к сертификации продукции и услуг.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34. Подготовка предприятия к сертификации основной деятельности.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35. Общие принципы понятия «Бережливое производство».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36. Характеристика принципов «Бережливое обеспечение».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37. Матрич</w:t>
      </w:r>
      <w:r>
        <w:rPr>
          <w:sz w:val="28"/>
        </w:rPr>
        <w:t>ная диаграмма.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38. Система «Точно </w:t>
      </w:r>
      <w:proofErr w:type="gramStart"/>
      <w:r>
        <w:rPr>
          <w:sz w:val="28"/>
        </w:rPr>
        <w:t>во время</w:t>
      </w:r>
      <w:proofErr w:type="gramEnd"/>
      <w:r>
        <w:rPr>
          <w:sz w:val="28"/>
        </w:rPr>
        <w:t>».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39. Характеристика потерь в бизнес-процессе.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40. Качество операций при применении методологии «Бережливое </w:t>
      </w:r>
      <w:r>
        <w:rPr>
          <w:sz w:val="28"/>
        </w:rPr>
        <w:lastRenderedPageBreak/>
        <w:t>производство».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41. Способы учета затрат на обеспечение качества продукции и услуг.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42. Характеристика тер</w:t>
      </w:r>
      <w:r>
        <w:rPr>
          <w:sz w:val="28"/>
        </w:rPr>
        <w:t>мина «места возникновение затрат».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43. Метод АВС в оптимизации затрат.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44. Методология функционально-стоимостного анализа помогает в повышении качества продукции и услуг.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45. Блок-схема процесса принятия решений.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46. Оценочные критерии качества при </w:t>
      </w:r>
      <w:r>
        <w:rPr>
          <w:sz w:val="28"/>
        </w:rPr>
        <w:t>принятии решения об инновационном развитии продукта или услуги.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47. Методология бережливого производства в системе СМК.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48. Философия Деминга в системе СМК.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49. Характеристика корпоративной культуры, встроенной в СМК (на примере «Бережливого производства»)</w:t>
      </w:r>
      <w:r>
        <w:rPr>
          <w:sz w:val="28"/>
        </w:rPr>
        <w:t>.</w:t>
      </w:r>
    </w:p>
    <w:p w:rsidR="00497D91" w:rsidRDefault="00D53278">
      <w:pPr>
        <w:pStyle w:val="a5"/>
        <w:tabs>
          <w:tab w:val="left" w:pos="12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50. Инструменты контроля качества продукции и потерь в СМК.</w:t>
      </w:r>
    </w:p>
    <w:p w:rsidR="00497D91" w:rsidRDefault="00497D91">
      <w:pPr>
        <w:pStyle w:val="a3"/>
        <w:spacing w:before="208" w:line="276" w:lineRule="auto"/>
        <w:ind w:left="251" w:right="143" w:firstLine="616"/>
        <w:jc w:val="both"/>
      </w:pPr>
    </w:p>
    <w:p w:rsidR="00497D91" w:rsidRDefault="00497D91"/>
    <w:sectPr w:rsidR="0049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278" w:rsidRDefault="00D53278">
      <w:pPr>
        <w:spacing w:line="240" w:lineRule="auto"/>
      </w:pPr>
      <w:r>
        <w:separator/>
      </w:r>
    </w:p>
  </w:endnote>
  <w:endnote w:type="continuationSeparator" w:id="0">
    <w:p w:rsidR="00D53278" w:rsidRDefault="00D53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278" w:rsidRDefault="00D53278">
      <w:pPr>
        <w:spacing w:after="0"/>
      </w:pPr>
      <w:r>
        <w:separator/>
      </w:r>
    </w:p>
  </w:footnote>
  <w:footnote w:type="continuationSeparator" w:id="0">
    <w:p w:rsidR="00D53278" w:rsidRDefault="00D532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DA"/>
    <w:rsid w:val="00497D91"/>
    <w:rsid w:val="00B4477D"/>
    <w:rsid w:val="00BA05DA"/>
    <w:rsid w:val="00D53278"/>
    <w:rsid w:val="325D5E07"/>
    <w:rsid w:val="6CF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7B64"/>
  <w15:docId w15:val="{A59C11AC-D15A-439C-996E-E412E1A9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pPr>
      <w:widowControl w:val="0"/>
      <w:autoSpaceDE w:val="0"/>
      <w:autoSpaceDN w:val="0"/>
      <w:spacing w:before="1" w:after="0" w:line="240" w:lineRule="auto"/>
      <w:ind w:left="143" w:hanging="27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Мушегян Александр Олегович</dc:creator>
  <cp:lastModifiedBy>Гуськова Марина Федоровна</cp:lastModifiedBy>
  <cp:revision>3</cp:revision>
  <dcterms:created xsi:type="dcterms:W3CDTF">2025-03-16T19:31:00Z</dcterms:created>
  <dcterms:modified xsi:type="dcterms:W3CDTF">2025-09-12T14:09:00Z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5AEAD603C0FF4A0387A372216BA826CE_13</vt:lpwstr>
  </property>
</Properties>
</file>