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DE" w:rsidRPr="000869D5" w:rsidRDefault="00335FDE" w:rsidP="00335FDE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35FDE" w:rsidRPr="000869D5" w:rsidRDefault="00335FDE" w:rsidP="00335FDE">
      <w:pPr>
        <w:pStyle w:val="Default"/>
        <w:jc w:val="center"/>
        <w:rPr>
          <w:b/>
          <w:sz w:val="28"/>
          <w:szCs w:val="28"/>
        </w:rPr>
      </w:pPr>
    </w:p>
    <w:p w:rsidR="00335FDE" w:rsidRPr="000869D5" w:rsidRDefault="00335FDE" w:rsidP="00335FDE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логистической инфраструктурой</w:t>
      </w:r>
      <w:r w:rsidRPr="000869D5">
        <w:rPr>
          <w:b/>
          <w:sz w:val="28"/>
          <w:szCs w:val="28"/>
        </w:rPr>
        <w:t>»</w:t>
      </w:r>
    </w:p>
    <w:p w:rsidR="00335FDE" w:rsidRPr="000869D5" w:rsidRDefault="00335FDE" w:rsidP="00335FDE">
      <w:pPr>
        <w:pStyle w:val="Default"/>
        <w:jc w:val="center"/>
        <w:rPr>
          <w:b/>
          <w:sz w:val="28"/>
          <w:szCs w:val="28"/>
        </w:rPr>
      </w:pPr>
    </w:p>
    <w:p w:rsidR="00335FDE" w:rsidRPr="00A07A29" w:rsidRDefault="00335FDE" w:rsidP="00335FDE">
      <w:pPr>
        <w:spacing w:after="160" w:line="20" w:lineRule="atLeast"/>
        <w:ind w:firstLine="708"/>
        <w:jc w:val="both"/>
        <w:rPr>
          <w:b/>
          <w:bCs/>
          <w:sz w:val="28"/>
          <w:szCs w:val="28"/>
        </w:rPr>
      </w:pPr>
      <w:r w:rsidRPr="00A07A29">
        <w:rPr>
          <w:b/>
          <w:bCs/>
          <w:sz w:val="28"/>
          <w:szCs w:val="28"/>
        </w:rPr>
        <w:t>Бланк индивидуального задания для подготовки курсового проекта.</w:t>
      </w: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335FDE" w:rsidRDefault="00335FDE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2861B0" w:rsidRDefault="002861B0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2861B0"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lastRenderedPageBreak/>
        <w:t>ФЕДЕРАЛЬНОЕ ГОСУДАРСТВЕННОЕ АВТОНОМНОЕ ОБРАЗОВАТЕЛЬНОЕ УЧРЕЖДЕНИЕ ВЫСШЕГО ОБРАЗОВАНИЯ</w:t>
      </w:r>
    </w:p>
    <w:p w:rsidR="002861B0" w:rsidRDefault="002861B0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2861B0">
        <w:rPr>
          <w:rFonts w:ascii="Helvetica Neue" w:eastAsia="Helvetica Neue" w:hAnsi="Helvetica Neue" w:cs="Helvetica Neue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«РОССИЙСКИЙ УНИВЕРСИТЕТ ТРАНСПОРТА»</w:t>
      </w:r>
    </w:p>
    <w:p w:rsidR="002861B0" w:rsidRDefault="002861B0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left"/>
        <w:rPr>
          <w:sz w:val="24"/>
          <w:szCs w:val="24"/>
        </w:rPr>
      </w:pPr>
    </w:p>
    <w:p w:rsidR="002861B0" w:rsidRDefault="002861B0" w:rsidP="002861B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sz w:val="24"/>
          <w:szCs w:val="24"/>
        </w:rPr>
      </w:pPr>
      <w:r>
        <w:rPr>
          <w:sz w:val="24"/>
          <w:szCs w:val="24"/>
        </w:rPr>
        <w:t>Кафедра «Логистика и управление транспортными системами»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rPr>
          <w:b/>
          <w:bCs/>
        </w:rPr>
      </w:pP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center"/>
        <w:rPr>
          <w:b/>
          <w:bCs/>
        </w:rPr>
      </w:pPr>
      <w:r>
        <w:rPr>
          <w:b/>
          <w:bCs/>
        </w:rPr>
        <w:t>ЗАДАНИЕ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center"/>
        <w:rPr>
          <w:b/>
          <w:bCs/>
        </w:rPr>
      </w:pPr>
      <w:r>
        <w:rPr>
          <w:b/>
          <w:bCs/>
        </w:rPr>
        <w:t xml:space="preserve"> на выполнение курсового проекта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center"/>
        <w:rPr>
          <w:b/>
          <w:bCs/>
        </w:rPr>
      </w:pPr>
      <w:r>
        <w:rPr>
          <w:b/>
          <w:bCs/>
        </w:rPr>
        <w:t>по дисциплине «Управление логистической инфраструктурой»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center"/>
      </w:pP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</w:pP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</w:pPr>
      <w:r>
        <w:t>Студент______________________________________________________________________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(Фамилия, инициалы, группа)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both"/>
      </w:pP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both"/>
      </w:pPr>
      <w:r>
        <w:t xml:space="preserve">Дата выдачи задания </w:t>
      </w:r>
      <w:proofErr w:type="gramStart"/>
      <w:r>
        <w:t>« _</w:t>
      </w:r>
      <w:proofErr w:type="gramEnd"/>
      <w:r>
        <w:t>___ » _____________ 20____ г.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both"/>
      </w:pP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both"/>
      </w:pPr>
      <w:r>
        <w:t xml:space="preserve">Срок выполнения курсового проекта </w:t>
      </w:r>
      <w:proofErr w:type="gramStart"/>
      <w:r>
        <w:t>« _</w:t>
      </w:r>
      <w:proofErr w:type="gramEnd"/>
      <w:r>
        <w:t>___ » _____________ 20____ г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both"/>
      </w:pP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</w:pPr>
      <w:r>
        <w:rPr>
          <w:b/>
          <w:bCs/>
        </w:rPr>
        <w:t xml:space="preserve"> </w:t>
      </w:r>
      <w:r>
        <w:t>Руководитель курсового проекта</w:t>
      </w:r>
      <w:r>
        <w:tab/>
        <w:t>___________________</w:t>
      </w:r>
      <w:proofErr w:type="gramStart"/>
      <w:r>
        <w:t>_  _</w:t>
      </w:r>
      <w:proofErr w:type="gramEnd"/>
      <w:r>
        <w:t xml:space="preserve">__________________________ </w:t>
      </w:r>
    </w:p>
    <w:p w:rsidR="002861B0" w:rsidRDefault="002861B0" w:rsidP="0028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right="565"/>
        <w:jc w:val="center"/>
        <w:rPr>
          <w:i/>
          <w:iCs/>
          <w:sz w:val="22"/>
          <w:szCs w:val="22"/>
        </w:rPr>
      </w:pPr>
      <w:r>
        <w:t xml:space="preserve">                                                      </w:t>
      </w:r>
      <w:r>
        <w:rPr>
          <w:i/>
          <w:iCs/>
          <w:sz w:val="22"/>
          <w:szCs w:val="22"/>
        </w:rPr>
        <w:t xml:space="preserve"> (</w:t>
      </w:r>
      <w:proofErr w:type="spellStart"/>
      <w:r>
        <w:rPr>
          <w:i/>
          <w:iCs/>
          <w:sz w:val="22"/>
          <w:szCs w:val="22"/>
        </w:rPr>
        <w:t>И.О.Фамилия</w:t>
      </w:r>
      <w:proofErr w:type="spellEnd"/>
      <w:r>
        <w:rPr>
          <w:i/>
          <w:iCs/>
          <w:sz w:val="22"/>
          <w:szCs w:val="22"/>
        </w:rPr>
        <w:t xml:space="preserve">)                           </w:t>
      </w:r>
      <w:proofErr w:type="gramStart"/>
      <w:r>
        <w:rPr>
          <w:i/>
          <w:iCs/>
          <w:sz w:val="22"/>
          <w:szCs w:val="22"/>
        </w:rPr>
        <w:t xml:space="preserve">   (</w:t>
      </w:r>
      <w:proofErr w:type="gramEnd"/>
      <w:r>
        <w:rPr>
          <w:i/>
          <w:iCs/>
          <w:sz w:val="22"/>
          <w:szCs w:val="22"/>
        </w:rPr>
        <w:t xml:space="preserve">Подпись) </w:t>
      </w:r>
    </w:p>
    <w:p w:rsidR="002861B0" w:rsidRDefault="002861B0" w:rsidP="002861B0">
      <w:pPr>
        <w:widowControl w:val="0"/>
        <w:tabs>
          <w:tab w:val="left" w:pos="1515"/>
        </w:tabs>
      </w:pPr>
    </w:p>
    <w:p w:rsidR="002861B0" w:rsidRDefault="002861B0" w:rsidP="002861B0">
      <w:pPr>
        <w:pStyle w:val="a8"/>
        <w:widowControl w:val="0"/>
        <w:numPr>
          <w:ilvl w:val="0"/>
          <w:numId w:val="2"/>
        </w:numPr>
      </w:pPr>
      <w:r>
        <w:t>Номер и название темы для самостоятельной разработки в рамках теоретической части курсового проекта: «____________________________________________________________________________________________________________________________________________________________________________________________________»</w:t>
      </w:r>
    </w:p>
    <w:p w:rsidR="002861B0" w:rsidRDefault="002861B0" w:rsidP="002861B0">
      <w:pPr>
        <w:widowControl w:val="0"/>
        <w:tabs>
          <w:tab w:val="left" w:pos="1515"/>
        </w:tabs>
        <w:ind w:left="360"/>
      </w:pPr>
    </w:p>
    <w:p w:rsidR="002861B0" w:rsidRDefault="002861B0" w:rsidP="002861B0">
      <w:pPr>
        <w:ind w:firstLine="360"/>
      </w:pPr>
      <w:r>
        <w:t>2. Выбор схемы транспортировки нефтепродуктов.</w:t>
      </w:r>
    </w:p>
    <w:p w:rsidR="002861B0" w:rsidRDefault="002861B0" w:rsidP="002861B0"/>
    <w:tbl>
      <w:tblPr>
        <w:tblStyle w:val="TableNormal"/>
        <w:tblW w:w="99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1275"/>
        <w:gridCol w:w="1276"/>
        <w:gridCol w:w="1276"/>
        <w:gridCol w:w="992"/>
        <w:gridCol w:w="1276"/>
        <w:gridCol w:w="1134"/>
        <w:gridCol w:w="1128"/>
      </w:tblGrid>
      <w:tr w:rsidR="002861B0" w:rsidTr="002A0A1F">
        <w:trPr>
          <w:trHeight w:val="731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Масса груза, т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Базовая ставка транспортировки автотранспортными предприятиями у.е./т км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Тариф на подачу автотранспорта к месту погрузки, у.е./км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Тарифная стоимость перевалки нефтепродуктов, у.е./т</w:t>
            </w:r>
          </w:p>
        </w:tc>
      </w:tr>
      <w:tr w:rsidR="002861B0" w:rsidTr="002A0A1F">
        <w:trPr>
          <w:cantSplit/>
          <w:trHeight w:val="2010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1B0" w:rsidRDefault="002861B0" w:rsidP="002A0A1F"/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1B0" w:rsidRDefault="002861B0" w:rsidP="002A0A1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proofErr w:type="spellStart"/>
            <w:r>
              <w:rPr>
                <w:sz w:val="22"/>
                <w:szCs w:val="22"/>
              </w:rPr>
              <w:t>Аскизское</w:t>
            </w:r>
            <w:proofErr w:type="spellEnd"/>
            <w:r>
              <w:rPr>
                <w:sz w:val="22"/>
                <w:szCs w:val="22"/>
              </w:rPr>
              <w:t xml:space="preserve"> АТП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Минусинское АТП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Монгольское АТП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1B0" w:rsidRDefault="002861B0" w:rsidP="002A0A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г. Абаза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г. Минусинск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2861B0" w:rsidRDefault="002861B0" w:rsidP="002A0A1F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Монголия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4  5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6 7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5  5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6  5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14 7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15 7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22300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6  8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5  4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11  5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20200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6  4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12  5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17400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16700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2861B0" w:rsidTr="002861B0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0,082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</w:tbl>
    <w:p w:rsidR="002861B0" w:rsidRDefault="002861B0" w:rsidP="002861B0">
      <w:pPr>
        <w:widowControl w:val="0"/>
        <w:jc w:val="center"/>
      </w:pPr>
    </w:p>
    <w:p w:rsidR="002861B0" w:rsidRDefault="002861B0" w:rsidP="002861B0">
      <w:pPr>
        <w:widowControl w:val="0"/>
        <w:jc w:val="center"/>
      </w:pPr>
    </w:p>
    <w:p w:rsidR="002861B0" w:rsidRDefault="002861B0" w:rsidP="002861B0"/>
    <w:p w:rsidR="002861B0" w:rsidRDefault="002861B0" w:rsidP="00286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line="360" w:lineRule="auto"/>
      </w:pPr>
      <w:r>
        <w:tab/>
        <w:t>3.  Оптимизация взаимодействия звеньев транспортной логистической цепи.</w:t>
      </w:r>
    </w:p>
    <w:tbl>
      <w:tblPr>
        <w:tblStyle w:val="TableNormal"/>
        <w:tblW w:w="100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5"/>
        <w:gridCol w:w="1262"/>
        <w:gridCol w:w="1416"/>
        <w:gridCol w:w="1274"/>
        <w:gridCol w:w="992"/>
        <w:gridCol w:w="1203"/>
        <w:gridCol w:w="1202"/>
        <w:gridCol w:w="1265"/>
      </w:tblGrid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r>
              <w:t>Вариант №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proofErr w:type="spellStart"/>
            <w:r>
              <w:t>Q</w:t>
            </w:r>
            <w:r>
              <w:rPr>
                <w:vertAlign w:val="subscript"/>
              </w:rPr>
              <w:t>сут</w:t>
            </w:r>
            <w:proofErr w:type="spellEnd"/>
            <w:r>
              <w:t>, 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r>
              <w:t>Q</w:t>
            </w:r>
            <w:r>
              <w:rPr>
                <w:vertAlign w:val="subscript"/>
              </w:rPr>
              <w:t>тех1</w:t>
            </w:r>
            <w:r>
              <w:t>, т/ч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r>
              <w:t>Q</w:t>
            </w:r>
            <w:r>
              <w:rPr>
                <w:vertAlign w:val="subscript"/>
              </w:rPr>
              <w:t>тех2</w:t>
            </w:r>
            <w:r>
              <w:t>, т/ч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proofErr w:type="spellStart"/>
            <w:r>
              <w:t>T</w:t>
            </w:r>
            <w:r>
              <w:rPr>
                <w:vertAlign w:val="subscript"/>
              </w:rPr>
              <w:t>а</w:t>
            </w:r>
            <w:proofErr w:type="spellEnd"/>
            <w:r>
              <w:t>, ч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r>
              <w:t>K</w:t>
            </w:r>
            <w:r>
              <w:rPr>
                <w:vertAlign w:val="subscript"/>
              </w:rPr>
              <w:t>прм1</w:t>
            </w:r>
            <w:r>
              <w:t>, у.е.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r>
              <w:t>K</w:t>
            </w:r>
            <w:r>
              <w:rPr>
                <w:vertAlign w:val="subscript"/>
              </w:rPr>
              <w:t>прм2</w:t>
            </w:r>
            <w:r>
              <w:t>, у.е.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1B0" w:rsidRDefault="002861B0" w:rsidP="002A0A1F">
            <w:pPr>
              <w:jc w:val="both"/>
            </w:pPr>
            <w:r>
              <w:rPr>
                <w:lang w:val="en-US"/>
              </w:rPr>
              <w:t>S</w:t>
            </w:r>
            <w:proofErr w:type="spellStart"/>
            <w:r>
              <w:rPr>
                <w:vertAlign w:val="subscript"/>
              </w:rPr>
              <w:t>тлц</w:t>
            </w:r>
            <w:proofErr w:type="spellEnd"/>
            <w:r>
              <w:t>, у.е.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57000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58000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59000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61000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62000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lastRenderedPageBreak/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63000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62000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61000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59000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58000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57000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56000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55000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56000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57000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58000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59000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1150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61000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62000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63000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64000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65000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64000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63000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62000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61000</w:t>
            </w:r>
          </w:p>
        </w:tc>
      </w:tr>
      <w:tr w:rsidR="002861B0" w:rsidTr="002A0A1F">
        <w:trPr>
          <w:trHeight w:val="300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1B0" w:rsidRDefault="002861B0" w:rsidP="002A0A1F">
            <w:pPr>
              <w:jc w:val="center"/>
            </w:pPr>
            <w:r>
              <w:t>60000</w:t>
            </w:r>
          </w:p>
        </w:tc>
      </w:tr>
    </w:tbl>
    <w:p w:rsidR="002861B0" w:rsidRDefault="002861B0" w:rsidP="00286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center"/>
      </w:pPr>
    </w:p>
    <w:p w:rsidR="002861B0" w:rsidRDefault="002861B0" w:rsidP="00286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jc w:val="center"/>
      </w:pPr>
    </w:p>
    <w:p w:rsidR="00ED17D7" w:rsidRDefault="004B72BC"/>
    <w:p w:rsidR="00971690" w:rsidRDefault="00971690"/>
    <w:p w:rsidR="00971690" w:rsidRDefault="00971690"/>
    <w:p w:rsidR="00971690" w:rsidRDefault="00971690"/>
    <w:p w:rsidR="00971690" w:rsidRDefault="00971690"/>
    <w:p w:rsidR="00971690" w:rsidRDefault="00971690"/>
    <w:p w:rsidR="00971690" w:rsidRDefault="00971690"/>
    <w:p w:rsidR="00971690" w:rsidRDefault="00971690"/>
    <w:p w:rsidR="00971690" w:rsidRDefault="00971690"/>
    <w:p w:rsidR="00971690" w:rsidRDefault="00971690" w:rsidP="0097169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логистической инфраструктурой»</w:t>
      </w: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71690" w:rsidRDefault="00971690" w:rsidP="0097169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представленных из нижеприведенного списка.</w:t>
      </w: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71690" w:rsidRDefault="00971690" w:rsidP="00971690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Автодорожная транспортная система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Газопровод Северный поток - 2. Характеристика, текущее состояние,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Грузооборот транспорта.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Естественные потери грузов. Норма убыли грузов.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Классификация железнодорожных станций.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Координатный метод размещения транспортной инфраструктуры.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Пассажирское авиасообщение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Порты Азово - Черноморского бассейна.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Российские порты Дальневосточного бассейна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Стратегия развития транспорта до 2030 года. Основные положения и направления развития транспортерной системы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Технология радиочастотной идентификации объектов (RFID)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Транспортная система Дальнего Востока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Тяговый подвижной состав железных дорог.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Спрос и прогнозирование спроса на перевозки. Планирование перевозок.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Критерии выбора местоположения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Агентное</w:t>
      </w:r>
      <w:proofErr w:type="spellEnd"/>
      <w:r w:rsidRPr="00201D26">
        <w:rPr>
          <w:sz w:val="28"/>
          <w:szCs w:val="28"/>
        </w:rPr>
        <w:t xml:space="preserve"> моделирование транспортных процессов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Генеральные грузы.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Грузоподъемность и грузовместимость транспортных средств.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Имитационное моделирование, как аналитический инструмент организации работы транспортных систем.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Классификация опасных грузов.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Ледокольный флот России. Характеристика, перспективы, состояние.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Пассажирское железнодорожное сообщение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Порты Каспийского бассейна.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Северный морской путь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lastRenderedPageBreak/>
        <w:t>Судоходные каналы. Назначение, классификация, примеры.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Транзитный потенциал транспортной системы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Транспортно</w:t>
      </w:r>
      <w:proofErr w:type="spellEnd"/>
      <w:r w:rsidRPr="00201D26">
        <w:rPr>
          <w:sz w:val="28"/>
          <w:szCs w:val="28"/>
        </w:rPr>
        <w:t xml:space="preserve"> - логистическая инфраструктура работы с наливными грузами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Унимодальные перевозки грузов.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Конкуренция и взаимодействие видов транспорта, аспекты взаимодействия.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Выбор оптимального местоположения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Байкало</w:t>
      </w:r>
      <w:proofErr w:type="spellEnd"/>
      <w:r w:rsidRPr="00201D26">
        <w:rPr>
          <w:sz w:val="28"/>
          <w:szCs w:val="28"/>
        </w:rPr>
        <w:t xml:space="preserve"> - Амурская магистраль. Текущее состояние,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Грузовая авиация.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Грузоподъемные машины и механизмы. Характеристика и классификация.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Интермодальные</w:t>
      </w:r>
      <w:proofErr w:type="spellEnd"/>
      <w:r w:rsidRPr="00201D26">
        <w:rPr>
          <w:sz w:val="28"/>
          <w:szCs w:val="28"/>
        </w:rPr>
        <w:t xml:space="preserve"> технологии на транспорте. Примеры и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Контейнерная транспортная система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Определение производительности подъемно - транспортных машин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Перспективы развития транспортной инфраструктуры арктического бассейна</w:t>
      </w:r>
      <w:r>
        <w:rPr>
          <w:sz w:val="28"/>
          <w:szCs w:val="28"/>
        </w:rPr>
        <w:t>.</w:t>
      </w:r>
      <w:r w:rsidRPr="00201D26">
        <w:rPr>
          <w:sz w:val="28"/>
          <w:szCs w:val="28"/>
        </w:rPr>
        <w:t xml:space="preserve">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Правила и инструкции, определяющие работу железнодорожного транспорта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Северный морской путь.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Судоходные реки России. Характеристика и перспективы.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Транспорт необщего пользования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Транспортно</w:t>
      </w:r>
      <w:proofErr w:type="spellEnd"/>
      <w:r w:rsidRPr="00201D26">
        <w:rPr>
          <w:sz w:val="28"/>
          <w:szCs w:val="28"/>
        </w:rPr>
        <w:t xml:space="preserve"> - логистические системы хранения.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Экспортные газопроводы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Смешанные перевозки. Правила доставки грузов в прямом и смешанном сообщении.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Зонирование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Беспилотные транспортные системы. Примеры, специфика, положительные эффекты.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Грузовместимость транспортных средств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Грузоподъемные машины и механизмы. Характеристика и классификация.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1D26">
        <w:rPr>
          <w:sz w:val="28"/>
          <w:szCs w:val="28"/>
        </w:rPr>
        <w:t>Интермодальные</w:t>
      </w:r>
      <w:proofErr w:type="spellEnd"/>
      <w:r w:rsidRPr="00201D26">
        <w:rPr>
          <w:sz w:val="28"/>
          <w:szCs w:val="28"/>
        </w:rPr>
        <w:t xml:space="preserve"> транспортные системы.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Контрейлерные перевозки грузов. Перспективы развития, история, текущее состояние.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lastRenderedPageBreak/>
        <w:t>Панамский канал. Характеристика и значение для международного судоходства.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Показатели работы транспорта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Промышленный транспорт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Специализация подвижного состава железных дорог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Суэцкий канал. Характеристика, значение для международного судоходства.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Транспорт общего пользования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Транссибирская магистраль. Характеристика, значение, перспективы развития.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Экспортные нефтепроводы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Городской и пригородный транспорт: характеристика, транспортные сети городов, структура пассажирских средства, показатели перевозок.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Схема взаимодействия между зонами логистического центра.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Внутренний водный транспорт России.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Грузозахватные устройства.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Дискретно - событийное моделирование транспортных процессов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Инфраструктура внутреннего водного транспорта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Координатный метод размещения транспортной инфраструктуры.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Пассажирооборот транспорта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Порт </w:t>
      </w:r>
      <w:proofErr w:type="spellStart"/>
      <w:r w:rsidRPr="00201D26">
        <w:rPr>
          <w:sz w:val="28"/>
          <w:szCs w:val="28"/>
        </w:rPr>
        <w:t>Усть</w:t>
      </w:r>
      <w:proofErr w:type="spellEnd"/>
      <w:r w:rsidRPr="00201D26">
        <w:rPr>
          <w:sz w:val="28"/>
          <w:szCs w:val="28"/>
        </w:rPr>
        <w:t xml:space="preserve"> - Луга.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Российские порты Балтийского бассейна.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Специализированные транспортные контейнеры.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Технологический транспорт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 xml:space="preserve">Транспортная система высокоскоростного железнодорожного сообщения России. 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Трубопроводная транспортная система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Структура транспортной системы России</w:t>
      </w:r>
      <w:r>
        <w:rPr>
          <w:sz w:val="28"/>
          <w:szCs w:val="28"/>
        </w:rPr>
        <w:t>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Классификация логистических центров.</w:t>
      </w:r>
    </w:p>
    <w:p w:rsidR="00971690" w:rsidRPr="00201D26" w:rsidRDefault="00971690" w:rsidP="00971690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201D26">
        <w:rPr>
          <w:sz w:val="28"/>
          <w:szCs w:val="28"/>
        </w:rPr>
        <w:t>Показатели оценки функционирования логистических центров.</w:t>
      </w:r>
    </w:p>
    <w:p w:rsidR="00971690" w:rsidRDefault="00971690">
      <w:r>
        <w:t xml:space="preserve"> </w:t>
      </w:r>
    </w:p>
    <w:sectPr w:rsidR="0097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1CFD"/>
    <w:multiLevelType w:val="hybridMultilevel"/>
    <w:tmpl w:val="7FE4B3E0"/>
    <w:numStyleLink w:val="13"/>
  </w:abstractNum>
  <w:abstractNum w:abstractNumId="1" w15:restartNumberingAfterBreak="0">
    <w:nsid w:val="2A8A3AAD"/>
    <w:multiLevelType w:val="hybridMultilevel"/>
    <w:tmpl w:val="7FE4B3E0"/>
    <w:styleLink w:val="13"/>
    <w:lvl w:ilvl="0" w:tplc="0EE851FC">
      <w:start w:val="1"/>
      <w:numFmt w:val="decimal"/>
      <w:lvlText w:val="%1."/>
      <w:lvlJc w:val="left"/>
      <w:pPr>
        <w:tabs>
          <w:tab w:val="left" w:pos="1515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08D9C">
      <w:start w:val="1"/>
      <w:numFmt w:val="lowerLetter"/>
      <w:lvlText w:val="%2."/>
      <w:lvlJc w:val="left"/>
      <w:pPr>
        <w:tabs>
          <w:tab w:val="left" w:pos="151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9C9EB6">
      <w:start w:val="1"/>
      <w:numFmt w:val="lowerRoman"/>
      <w:lvlText w:val="%3."/>
      <w:lvlJc w:val="left"/>
      <w:pPr>
        <w:tabs>
          <w:tab w:val="left" w:pos="151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A8EACA">
      <w:start w:val="1"/>
      <w:numFmt w:val="decimal"/>
      <w:lvlText w:val="%4."/>
      <w:lvlJc w:val="left"/>
      <w:pPr>
        <w:tabs>
          <w:tab w:val="left" w:pos="151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CA406">
      <w:start w:val="1"/>
      <w:numFmt w:val="lowerLetter"/>
      <w:lvlText w:val="%5."/>
      <w:lvlJc w:val="left"/>
      <w:pPr>
        <w:tabs>
          <w:tab w:val="left" w:pos="151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0891C">
      <w:start w:val="1"/>
      <w:numFmt w:val="lowerRoman"/>
      <w:lvlText w:val="%6."/>
      <w:lvlJc w:val="left"/>
      <w:pPr>
        <w:tabs>
          <w:tab w:val="left" w:pos="151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1256DE">
      <w:start w:val="1"/>
      <w:numFmt w:val="decimal"/>
      <w:lvlText w:val="%7."/>
      <w:lvlJc w:val="left"/>
      <w:pPr>
        <w:tabs>
          <w:tab w:val="left" w:pos="151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A33E8">
      <w:start w:val="1"/>
      <w:numFmt w:val="lowerLetter"/>
      <w:lvlText w:val="%8."/>
      <w:lvlJc w:val="left"/>
      <w:pPr>
        <w:tabs>
          <w:tab w:val="left" w:pos="151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CD3C8">
      <w:start w:val="1"/>
      <w:numFmt w:val="lowerRoman"/>
      <w:lvlText w:val="%9."/>
      <w:lvlJc w:val="left"/>
      <w:pPr>
        <w:tabs>
          <w:tab w:val="left" w:pos="151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DC6BA1"/>
    <w:multiLevelType w:val="hybridMultilevel"/>
    <w:tmpl w:val="7A9C4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22"/>
    <w:rsid w:val="001B4B3F"/>
    <w:rsid w:val="002861B0"/>
    <w:rsid w:val="00335FDE"/>
    <w:rsid w:val="00374239"/>
    <w:rsid w:val="004B72BC"/>
    <w:rsid w:val="008A4576"/>
    <w:rsid w:val="00915622"/>
    <w:rsid w:val="00971690"/>
    <w:rsid w:val="009B6EF9"/>
    <w:rsid w:val="00D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745B"/>
  <w15:chartTrackingRefBased/>
  <w15:docId w15:val="{110417F9-9F5B-44F9-B049-99BB4C62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Subtitle"/>
    <w:next w:val="a4"/>
    <w:link w:val="a5"/>
    <w:rsid w:val="002861B0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Helvetica Neue" w:eastAsia="Helvetica Neue" w:hAnsi="Helvetica Neue" w:cs="Helvetica Neue"/>
      <w:color w:val="000000"/>
      <w:sz w:val="40"/>
      <w:szCs w:val="4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Подзаголовок Знак"/>
    <w:basedOn w:val="a0"/>
    <w:link w:val="a3"/>
    <w:rsid w:val="002861B0"/>
    <w:rPr>
      <w:rFonts w:ascii="Helvetica Neue" w:eastAsia="Helvetica Neue" w:hAnsi="Helvetica Neue" w:cs="Helvetica Neue"/>
      <w:color w:val="000000"/>
      <w:sz w:val="40"/>
      <w:szCs w:val="4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Title"/>
    <w:link w:val="a7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ru-RU"/>
    </w:rPr>
  </w:style>
  <w:style w:type="character" w:customStyle="1" w:styleId="a7">
    <w:name w:val="Заголовок Знак"/>
    <w:basedOn w:val="a0"/>
    <w:link w:val="a6"/>
    <w:rsid w:val="002861B0"/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ru-RU"/>
    </w:rPr>
  </w:style>
  <w:style w:type="paragraph" w:styleId="a8">
    <w:name w:val="List Paragraph"/>
    <w:uiPriority w:val="34"/>
    <w:qFormat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9">
    <w:name w:val="По умолчанию"/>
    <w:rsid w:val="002861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3">
    <w:name w:val="Импортированный стиль 13"/>
    <w:rsid w:val="002861B0"/>
    <w:pPr>
      <w:numPr>
        <w:numId w:val="1"/>
      </w:numPr>
    </w:pPr>
  </w:style>
  <w:style w:type="paragraph" w:styleId="a4">
    <w:name w:val="Body Text"/>
    <w:basedOn w:val="a"/>
    <w:link w:val="aa"/>
    <w:uiPriority w:val="99"/>
    <w:semiHidden/>
    <w:unhideWhenUsed/>
    <w:rsid w:val="002861B0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2861B0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Default">
    <w:name w:val="Default"/>
    <w:rsid w:val="00335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Щербаков Дмитрий Александрович</cp:lastModifiedBy>
  <cp:revision>6</cp:revision>
  <dcterms:created xsi:type="dcterms:W3CDTF">2022-03-18T10:47:00Z</dcterms:created>
  <dcterms:modified xsi:type="dcterms:W3CDTF">2024-01-22T14:19:00Z</dcterms:modified>
</cp:coreProperties>
</file>