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8A7AF6" w:rsidRDefault="00AC51DA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</w:t>
      </w:r>
      <w:r w:rsidR="00681ED7">
        <w:rPr>
          <w:b/>
          <w:sz w:val="28"/>
          <w:szCs w:val="28"/>
        </w:rPr>
        <w:t>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Pr="004A1C6C" w:rsidRDefault="00171305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Управление </w:t>
      </w:r>
      <w:r w:rsidRPr="004A1C6C">
        <w:rPr>
          <w:b/>
          <w:sz w:val="28"/>
          <w:szCs w:val="24"/>
        </w:rPr>
        <w:t>эффективностью</w:t>
      </w:r>
      <w:r w:rsidR="00691BAF" w:rsidRPr="004A1C6C">
        <w:rPr>
          <w:b/>
          <w:sz w:val="28"/>
          <w:szCs w:val="24"/>
        </w:rPr>
        <w:t xml:space="preserve"> транспортного бизнеса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  <w:r w:rsidR="00691BAF">
        <w:rPr>
          <w:bCs/>
          <w:sz w:val="28"/>
          <w:szCs w:val="28"/>
        </w:rPr>
        <w:t xml:space="preserve"> для транспортных организаций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 стоимости информации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 w:rsidRPr="00BF4A42">
        <w:rPr>
          <w:bCs/>
          <w:sz w:val="28"/>
          <w:szCs w:val="28"/>
        </w:rPr>
        <w:br/>
        <w:t>(standard costing)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Отклонения прямых затрат на материалы</w:t>
      </w:r>
    </w:p>
    <w:p w:rsidR="00171305" w:rsidRPr="00085390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Отклонения затрат на оплату труда</w:t>
      </w:r>
    </w:p>
    <w:p w:rsidR="00171305" w:rsidRPr="009A211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Отклонения переменных накладных затрат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Отклонения постоянных накладных расходов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6434C9">
        <w:rPr>
          <w:bCs/>
          <w:sz w:val="28"/>
          <w:szCs w:val="28"/>
        </w:rPr>
        <w:t>тклонения по цене и по объему продаж</w:t>
      </w:r>
    </w:p>
    <w:p w:rsidR="00171305" w:rsidRDefault="005C0A94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="00171305"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171305"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 w:rsidR="005C0A94">
        <w:rPr>
          <w:bCs/>
          <w:sz w:val="28"/>
          <w:szCs w:val="28"/>
        </w:rPr>
        <w:t xml:space="preserve"> метода учета затрат по видам деятельности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Экологический учет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Принятие управленческих решений при наличии лимитирующих факторов</w:t>
      </w:r>
    </w:p>
    <w:p w:rsidR="00171305" w:rsidRDefault="00171305" w:rsidP="00171305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при принятие решений в области ценообразования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4E781D">
        <w:rPr>
          <w:bCs/>
          <w:sz w:val="28"/>
          <w:szCs w:val="28"/>
        </w:rPr>
        <w:t>Принятие решений в условиях риска и неопределенности</w:t>
      </w:r>
      <w:r>
        <w:rPr>
          <w:bCs/>
          <w:sz w:val="28"/>
          <w:szCs w:val="28"/>
        </w:rPr>
        <w:t>.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Дерево решений как инструмент принятия решений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lastRenderedPageBreak/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Принципы</w:t>
      </w:r>
      <w:r>
        <w:rPr>
          <w:bCs/>
          <w:sz w:val="28"/>
          <w:szCs w:val="28"/>
        </w:rPr>
        <w:t xml:space="preserve"> внебюджетного управления</w:t>
      </w:r>
      <w:r w:rsidRPr="00916E7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r w:rsidRPr="00916E70">
        <w:rPr>
          <w:bCs/>
          <w:sz w:val="28"/>
          <w:szCs w:val="28"/>
        </w:rPr>
        <w:t>Beyond Budgeting</w:t>
      </w:r>
      <w:r>
        <w:rPr>
          <w:bCs/>
          <w:sz w:val="28"/>
          <w:szCs w:val="28"/>
        </w:rPr>
        <w:t>)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33135D" w:rsidRDefault="0033135D" w:rsidP="0033135D">
      <w:pPr>
        <w:pStyle w:val="a3"/>
        <w:numPr>
          <w:ilvl w:val="0"/>
          <w:numId w:val="19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Центры ответственности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Проблема подконтрольности в рамках центров ответственности</w:t>
      </w:r>
    </w:p>
    <w:p w:rsidR="001C285D" w:rsidRDefault="001C285D" w:rsidP="001C285D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1C285D" w:rsidRPr="00E74BC0" w:rsidRDefault="001C285D" w:rsidP="001C285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74BC0">
        <w:rPr>
          <w:b/>
          <w:sz w:val="28"/>
          <w:szCs w:val="28"/>
        </w:rPr>
        <w:t>Примерный перечень тестовых заданий</w:t>
      </w:r>
    </w:p>
    <w:p w:rsidR="001C285D" w:rsidRPr="00E74BC0" w:rsidRDefault="001C285D" w:rsidP="001C285D">
      <w:pPr>
        <w:shd w:val="clear" w:color="auto" w:fill="FFFFFF"/>
        <w:contextualSpacing/>
        <w:jc w:val="center"/>
        <w:rPr>
          <w:sz w:val="28"/>
          <w:szCs w:val="24"/>
        </w:rPr>
      </w:pPr>
    </w:p>
    <w:p w:rsidR="001C285D" w:rsidRPr="0005390B" w:rsidRDefault="001C285D" w:rsidP="001C285D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Pr="00A559E6">
        <w:rPr>
          <w:rFonts w:cs="Times New Roman"/>
          <w:sz w:val="28"/>
          <w:szCs w:val="28"/>
        </w:rPr>
        <w:t>. Пользователи информации управленческого учёта: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государственные органы исполнительной власти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финансовые органы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налоговые органы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органы статистики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руководители экономического субъекта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бухгалтера экономического субъекта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менеджеры управленцы экономического субъекта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работники экономического субъекта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A559E6">
        <w:rPr>
          <w:rFonts w:cs="Times New Roman"/>
          <w:sz w:val="28"/>
          <w:szCs w:val="28"/>
        </w:rPr>
        <w:t xml:space="preserve">.  Ведение управленческого учёта в организации осуществляется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руководства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по решению учредителей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госорганов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Основными функциями управленческого учета являются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учет затрат и калькулирование себестоимости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бухгалтерской финансовой отчетности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внутрифирменной отчетности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расчет налоговой базы по налогам и сборам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Пользователями учетной информации управленческого учета являются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прямым финансовым интересом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косвенным финансовым интересом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без финансового интереса</w:t>
      </w:r>
    </w:p>
    <w:p w:rsid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внутренние пользователи</w:t>
      </w:r>
    </w:p>
    <w:p w:rsidR="004A1C6C" w:rsidRDefault="004A1C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C285D" w:rsidRPr="004A1C6C" w:rsidRDefault="001C285D" w:rsidP="004A1C6C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lastRenderedPageBreak/>
        <w:t xml:space="preserve">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Признаками качественной информации управленческого учёта являются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понятность для конечного пользователя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стоимостные единицы измерения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четкость и краткость</w:t>
      </w:r>
      <w:r w:rsidRPr="00A559E6"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значимость или «релевантность»</w:t>
      </w:r>
      <w:r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подготовка информации в установленные законодательством сроки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Непосредственно связаны с получением доходов в отчетном периоде, но не могут быть использованы в будущем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расходы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затраты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активы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издержки производства</w:t>
      </w:r>
      <w:r w:rsidRPr="00A559E6">
        <w:rPr>
          <w:rFonts w:cs="Times New Roman"/>
          <w:sz w:val="28"/>
          <w:szCs w:val="28"/>
        </w:rPr>
        <w:t>.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Расходы отражаются на следующих синтетических счетах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10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23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43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90.02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A559E6">
        <w:rPr>
          <w:rFonts w:cs="Times New Roman"/>
          <w:sz w:val="28"/>
          <w:szCs w:val="28"/>
        </w:rPr>
        <w:t>.  Классификация затрат – это группировка затрат на однородные группы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производства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продукции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относительно группировочного признака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В соответствии с ПБУ 10/99 "Учет расходов" расходы хозяйствующего субъекта делятся на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производственные и непроизводственные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основные и накладные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прямые и косвенные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расходы по обычным видам деятельности и прочие расходы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переменные и постоянные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A559E6">
        <w:rPr>
          <w:rFonts w:cs="Times New Roman"/>
          <w:sz w:val="28"/>
          <w:szCs w:val="28"/>
        </w:rPr>
        <w:t xml:space="preserve">.  </w:t>
      </w:r>
      <w:r w:rsidRPr="00D13092">
        <w:rPr>
          <w:rFonts w:cs="Times New Roman"/>
          <w:sz w:val="28"/>
          <w:szCs w:val="28"/>
        </w:rPr>
        <w:t>Затраты, связанные с производством одного вида продукции, являются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прямыми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постоянными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накладными</w:t>
      </w:r>
    </w:p>
    <w:p w:rsid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индивидуальными</w:t>
      </w:r>
    </w:p>
    <w:p w:rsidR="004A1C6C" w:rsidRDefault="004A1C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C285D" w:rsidRP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Компания должна обеспечивать группировку затрат по следующим элементам: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материальные затраты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арендная плата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оплата кредитов и займов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затраты на оплату труда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расчеты по налогам и сборам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амортизация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Pr="00A559E6">
        <w:rPr>
          <w:rFonts w:cs="Times New Roman"/>
          <w:sz w:val="28"/>
          <w:szCs w:val="28"/>
        </w:rPr>
        <w:t>.  Информация, формируемая в системе управленческого учёта, является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для внешних пользователей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публичной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только для акционеров данного экономического субъекта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коммерческой тайной организации</w:t>
      </w:r>
    </w:p>
    <w:p w:rsidR="001C285D" w:rsidRPr="00A559E6" w:rsidRDefault="001C285D" w:rsidP="001C285D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Номенклатура затрат и статьи затрат утверждаются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в национальном стандарте ПБУ 10/99 «Расходы организаций»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экономическим субъектом в соответствии с отраслевыми методическими указаниями</w:t>
      </w:r>
      <w:r w:rsidRPr="00A559E6"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Министерством финансов РФ</w:t>
      </w:r>
      <w:r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налоговыми органами</w:t>
      </w:r>
      <w:r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нет правильного ответа</w:t>
      </w:r>
      <w:r>
        <w:rPr>
          <w:rFonts w:cs="Times New Roman"/>
          <w:sz w:val="28"/>
          <w:szCs w:val="28"/>
        </w:rPr>
        <w:t>.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Pr="00A559E6">
        <w:rPr>
          <w:rFonts w:cs="Times New Roman"/>
          <w:sz w:val="28"/>
          <w:szCs w:val="28"/>
        </w:rPr>
        <w:t xml:space="preserve">. </w:t>
      </w:r>
      <w:r w:rsidRPr="00183B7D">
        <w:rPr>
          <w:rFonts w:cs="Times New Roman"/>
          <w:sz w:val="28"/>
          <w:szCs w:val="28"/>
        </w:rPr>
        <w:t>Выберите из списка непроизводственные затраты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расходы на рекламу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по наладке оборудования</w:t>
      </w:r>
      <w:r w:rsidRPr="00A559E6"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на доставку готовой продукции</w:t>
      </w:r>
      <w:r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амортизация производственного оборудования</w:t>
      </w:r>
      <w:r>
        <w:rPr>
          <w:rFonts w:cs="Times New Roman"/>
          <w:sz w:val="28"/>
          <w:szCs w:val="28"/>
        </w:rPr>
        <w:t>;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заработная плата работников отдела продаж</w:t>
      </w:r>
      <w:r>
        <w:rPr>
          <w:rFonts w:cs="Times New Roman"/>
          <w:sz w:val="28"/>
          <w:szCs w:val="28"/>
        </w:rPr>
        <w:t>.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Pr="00A559E6">
        <w:rPr>
          <w:rFonts w:cs="Times New Roman"/>
          <w:sz w:val="28"/>
          <w:szCs w:val="28"/>
        </w:rPr>
        <w:t xml:space="preserve">. По способу отнесения на себестоимость различают затраты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сводные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прямые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косвенные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индивидуальные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A559E6">
        <w:rPr>
          <w:rFonts w:cs="Times New Roman"/>
          <w:sz w:val="28"/>
          <w:szCs w:val="28"/>
        </w:rPr>
        <w:t xml:space="preserve">.  Прямые расходы – это расходы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затрачены на производство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которые непосредственно по данным первичных документов можно отнести на определённый вид продукции </w:t>
      </w:r>
    </w:p>
    <w:p w:rsid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составляют</w:t>
      </w:r>
      <w:r>
        <w:rPr>
          <w:rFonts w:cs="Times New Roman"/>
          <w:sz w:val="28"/>
          <w:szCs w:val="28"/>
        </w:rPr>
        <w:t xml:space="preserve"> полную</w:t>
      </w:r>
      <w:r w:rsidRPr="00A559E6">
        <w:rPr>
          <w:rFonts w:cs="Times New Roman"/>
          <w:sz w:val="28"/>
          <w:szCs w:val="28"/>
        </w:rPr>
        <w:t xml:space="preserve"> себестоимость продукции</w:t>
      </w:r>
    </w:p>
    <w:p w:rsidR="004A1C6C" w:rsidRDefault="004A1C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C285D" w:rsidRP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Pr="00A559E6">
        <w:rPr>
          <w:rFonts w:cs="Times New Roman"/>
          <w:sz w:val="28"/>
          <w:szCs w:val="28"/>
        </w:rPr>
        <w:t xml:space="preserve">.   </w:t>
      </w:r>
      <w:r w:rsidRPr="007B7EBB">
        <w:rPr>
          <w:rFonts w:cs="Times New Roman"/>
          <w:sz w:val="28"/>
          <w:szCs w:val="28"/>
        </w:rPr>
        <w:t>Укажите</w:t>
      </w:r>
      <w:r>
        <w:rPr>
          <w:rFonts w:cs="Times New Roman"/>
          <w:sz w:val="28"/>
          <w:szCs w:val="28"/>
        </w:rPr>
        <w:t xml:space="preserve"> все</w:t>
      </w:r>
      <w:r w:rsidRPr="007B7EBB">
        <w:rPr>
          <w:rFonts w:cs="Times New Roman"/>
          <w:sz w:val="28"/>
          <w:szCs w:val="28"/>
        </w:rPr>
        <w:t xml:space="preserve"> высказывания верные для традиционной системы распределения косвенных затрат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7B7EBB">
        <w:rPr>
          <w:rFonts w:cs="Times New Roman"/>
          <w:sz w:val="28"/>
          <w:szCs w:val="28"/>
        </w:rPr>
        <w:t>истема простая в применении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сложная для реализации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Величина себестоимости продукции при существенной доле косвенных затрат может искажаться при использовании разных баз распределения затрат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Выбор базы распределения косвенных затрат не влияет на себестоимость продукции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Для распределения косвенных затрат применяется их предварительная группировка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Укажите высказывания верные для функциональной системы распределения косвенных затрат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простая и удобная в применении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 качестве базы распределения часто используются натуральные показатели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не может использоваться в сфере услуг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       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Из представленного перечня укажите переменные расходы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амортизационные отчисления за производственное оборудование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аренда производственных площадей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исходные и вспомогательные материалы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реклама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комиссионные при реализации товаров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вознаграждение руководителя предприятия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Pr="00A559E6">
        <w:rPr>
          <w:rFonts w:cs="Times New Roman"/>
          <w:sz w:val="28"/>
          <w:szCs w:val="28"/>
        </w:rPr>
        <w:t xml:space="preserve">.   </w:t>
      </w:r>
      <w:r w:rsidRPr="00F16EBB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менеджеры не могут влиять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инфляция не влияет</w:t>
      </w:r>
    </w:p>
    <w:p w:rsidR="001C285D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Pr="00A559E6">
        <w:rPr>
          <w:rFonts w:cs="Times New Roman"/>
          <w:sz w:val="28"/>
          <w:szCs w:val="28"/>
        </w:rPr>
        <w:t xml:space="preserve">. </w:t>
      </w:r>
      <w:r w:rsidRPr="00BA034B">
        <w:rPr>
          <w:rFonts w:cs="Times New Roman"/>
          <w:sz w:val="28"/>
          <w:szCs w:val="28"/>
        </w:rPr>
        <w:t>Бюджетирование – это система планирования на основе построения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планов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смет</w:t>
      </w:r>
    </w:p>
    <w:p w:rsid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бюджетов</w:t>
      </w:r>
    </w:p>
    <w:p w:rsidR="004A1C6C" w:rsidRDefault="004A1C6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1C285D" w:rsidRPr="004A1C6C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bookmarkStart w:id="0" w:name="_GoBack"/>
      <w:bookmarkEnd w:id="0"/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Pr="00A559E6">
        <w:rPr>
          <w:rFonts w:cs="Times New Roman"/>
          <w:sz w:val="28"/>
          <w:szCs w:val="28"/>
        </w:rPr>
        <w:t xml:space="preserve">.  </w:t>
      </w:r>
      <w:r w:rsidRPr="0061352C">
        <w:rPr>
          <w:rFonts w:cs="Times New Roman"/>
          <w:sz w:val="28"/>
          <w:szCs w:val="28"/>
        </w:rPr>
        <w:t>Бюджетирование это система: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оперативного планирования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среднесрочного планирования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стратегического планирования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Оперативность анализа и принятие оперативных решений в режиме реального времени обеспечивает осуществление бюджетирования на основе соблюдения принципа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стоимостного измерения статей баланса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баланса ресурсов и их использования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анализа явлений в динамике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Процесс бюджетирования включает этапы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составления бюджета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контроля исполнения бюджета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корректировки бюджета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расчёта финансовых результатов</w:t>
      </w:r>
      <w:r w:rsidRPr="00A559E6">
        <w:rPr>
          <w:rFonts w:cs="Times New Roman"/>
          <w:sz w:val="28"/>
          <w:szCs w:val="28"/>
        </w:rPr>
        <w:t xml:space="preserve"> 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Процесс бюджетирования требует определения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предмета бюджетирования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объектов бюджетирования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бюджетного периода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системы бюджетных показателей</w:t>
      </w:r>
    </w:p>
    <w:p w:rsidR="001C285D" w:rsidRPr="00A559E6" w:rsidRDefault="001C285D" w:rsidP="001C285D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</w:t>
      </w:r>
      <w:r w:rsidRPr="00A559E6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Формы бюджетов</w:t>
      </w:r>
      <w:r w:rsidRPr="00A559E6">
        <w:rPr>
          <w:rFonts w:cs="Times New Roman"/>
          <w:sz w:val="28"/>
          <w:szCs w:val="28"/>
        </w:rPr>
        <w:t>: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Минфином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налоговыми органами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организаций и утверждаются налоговыми органами</w:t>
      </w:r>
      <w:r w:rsidRPr="00A559E6">
        <w:rPr>
          <w:rFonts w:cs="Times New Roman"/>
          <w:sz w:val="28"/>
          <w:szCs w:val="28"/>
        </w:rPr>
        <w:t>;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хозяйствующим субъектом</w:t>
      </w:r>
      <w:r w:rsidRPr="00A559E6">
        <w:rPr>
          <w:rFonts w:cs="Times New Roman"/>
          <w:sz w:val="28"/>
          <w:szCs w:val="28"/>
        </w:rPr>
        <w:t>.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</w:t>
      </w:r>
      <w:r w:rsidRPr="00A559E6">
        <w:rPr>
          <w:rFonts w:cs="Times New Roman"/>
          <w:sz w:val="28"/>
          <w:szCs w:val="28"/>
        </w:rPr>
        <w:t xml:space="preserve">. </w:t>
      </w:r>
      <w:r w:rsidRPr="0061352C">
        <w:rPr>
          <w:rFonts w:cs="Times New Roman"/>
          <w:sz w:val="28"/>
          <w:szCs w:val="28"/>
        </w:rPr>
        <w:t>Укажите все возможные виды бюджетов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сводные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общие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гибкие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статические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61352C">
        <w:rPr>
          <w:rFonts w:cs="Times New Roman"/>
          <w:sz w:val="28"/>
          <w:szCs w:val="28"/>
        </w:rPr>
        <w:t>периодические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Pr="00A559E6">
        <w:rPr>
          <w:rFonts w:cs="Times New Roman"/>
          <w:sz w:val="28"/>
          <w:szCs w:val="28"/>
        </w:rPr>
        <w:t xml:space="preserve">.  </w:t>
      </w:r>
      <w:r w:rsidRPr="00703ECD">
        <w:rPr>
          <w:rFonts w:cs="Times New Roman"/>
          <w:sz w:val="28"/>
          <w:szCs w:val="28"/>
        </w:rPr>
        <w:t>К сводным бюджетам относятся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движения денежных средств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продаж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затрат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доходов и расходов</w:t>
      </w:r>
    </w:p>
    <w:p w:rsidR="001C285D" w:rsidRPr="00A559E6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прогнозный баланс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29</w:t>
      </w:r>
      <w:r w:rsidRPr="00A559E6">
        <w:rPr>
          <w:rFonts w:cs="Times New Roman"/>
          <w:sz w:val="28"/>
          <w:szCs w:val="28"/>
        </w:rPr>
        <w:t xml:space="preserve">. </w:t>
      </w:r>
      <w:r w:rsidRPr="00703ECD">
        <w:rPr>
          <w:rFonts w:cs="Times New Roman"/>
          <w:sz w:val="28"/>
          <w:szCs w:val="28"/>
        </w:rPr>
        <w:t>Гибкими называют бюджеты, в которых значения показателей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не подлежат изменению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могут быть скорректированы с учётом возможных изменений условий деятельности организации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подлежат корректировке по прошествии определённого периода времени</w:t>
      </w: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</w:rPr>
      </w:pPr>
    </w:p>
    <w:p w:rsidR="001C285D" w:rsidRPr="00A559E6" w:rsidRDefault="001C285D" w:rsidP="001C285D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Pr="00A559E6">
        <w:rPr>
          <w:rFonts w:cs="Times New Roman"/>
          <w:sz w:val="28"/>
          <w:szCs w:val="28"/>
        </w:rPr>
        <w:t xml:space="preserve">.  </w:t>
      </w:r>
      <w:r w:rsidRPr="00703ECD">
        <w:rPr>
          <w:rFonts w:cs="Times New Roman"/>
          <w:sz w:val="28"/>
          <w:szCs w:val="28"/>
        </w:rPr>
        <w:t>С какого бюджета, как правило, начинают формирование операционных бюджетов?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 xml:space="preserve">бюджета продаж 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 xml:space="preserve">бюджета инвестиций 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бюджета</w:t>
      </w:r>
      <w:r>
        <w:rPr>
          <w:rFonts w:cs="Times New Roman"/>
          <w:sz w:val="28"/>
          <w:szCs w:val="28"/>
        </w:rPr>
        <w:t xml:space="preserve"> движения</w:t>
      </w:r>
      <w:r w:rsidRPr="00703ECD">
        <w:rPr>
          <w:rFonts w:cs="Times New Roman"/>
          <w:sz w:val="28"/>
          <w:szCs w:val="28"/>
        </w:rPr>
        <w:t xml:space="preserve"> денежных средств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 производства</w:t>
      </w:r>
    </w:p>
    <w:p w:rsidR="001C285D" w:rsidRDefault="001C285D" w:rsidP="001C285D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03ECD">
        <w:rPr>
          <w:rFonts w:cs="Times New Roman"/>
          <w:sz w:val="28"/>
          <w:szCs w:val="28"/>
        </w:rPr>
        <w:t>бюджета заготовления</w:t>
      </w:r>
    </w:p>
    <w:p w:rsidR="003D59B8" w:rsidRPr="001C285D" w:rsidRDefault="003D59B8" w:rsidP="001C285D">
      <w:pPr>
        <w:rPr>
          <w:rFonts w:cs="Times New Roman"/>
          <w:sz w:val="28"/>
          <w:szCs w:val="28"/>
        </w:rPr>
      </w:pPr>
    </w:p>
    <w:sectPr w:rsidR="003D59B8" w:rsidRPr="001C285D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58" w:rsidRDefault="00B41A58" w:rsidP="00F843E2">
      <w:r>
        <w:separator/>
      </w:r>
    </w:p>
  </w:endnote>
  <w:endnote w:type="continuationSeparator" w:id="0">
    <w:p w:rsidR="00B41A58" w:rsidRDefault="00B41A5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58" w:rsidRDefault="00B41A58" w:rsidP="00F843E2">
      <w:r>
        <w:separator/>
      </w:r>
    </w:p>
  </w:footnote>
  <w:footnote w:type="continuationSeparator" w:id="0">
    <w:p w:rsidR="00B41A58" w:rsidRDefault="00B41A5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EF2DC3" w:rsidRDefault="00171305">
    <w:pPr>
      <w:pStyle w:val="a5"/>
      <w:rPr>
        <w:sz w:val="16"/>
        <w:szCs w:val="16"/>
        <w:lang w:val="en-US"/>
      </w:rPr>
    </w:pPr>
    <w:r>
      <w:rPr>
        <w:sz w:val="16"/>
        <w:szCs w:val="16"/>
      </w:rPr>
      <w:t>Управление эффективностью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A27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459"/>
    <w:multiLevelType w:val="hybridMultilevel"/>
    <w:tmpl w:val="B742D86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11C9"/>
    <w:multiLevelType w:val="hybridMultilevel"/>
    <w:tmpl w:val="18EA3C9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686A"/>
    <w:multiLevelType w:val="hybridMultilevel"/>
    <w:tmpl w:val="E2C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1D45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01928"/>
    <w:multiLevelType w:val="hybridMultilevel"/>
    <w:tmpl w:val="4D3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14298"/>
    <w:multiLevelType w:val="hybridMultilevel"/>
    <w:tmpl w:val="1CD2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91555"/>
    <w:multiLevelType w:val="hybridMultilevel"/>
    <w:tmpl w:val="3E48D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50811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32F8"/>
    <w:multiLevelType w:val="hybridMultilevel"/>
    <w:tmpl w:val="3010548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463"/>
    <w:multiLevelType w:val="hybridMultilevel"/>
    <w:tmpl w:val="E0D0115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4946945"/>
    <w:multiLevelType w:val="hybridMultilevel"/>
    <w:tmpl w:val="8A6CFB2A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F20EC"/>
    <w:multiLevelType w:val="hybridMultilevel"/>
    <w:tmpl w:val="5BAA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846AF"/>
    <w:multiLevelType w:val="hybridMultilevel"/>
    <w:tmpl w:val="DA6018E8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9954C5"/>
    <w:multiLevelType w:val="hybridMultilevel"/>
    <w:tmpl w:val="8A6AACD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461C8C"/>
    <w:multiLevelType w:val="hybridMultilevel"/>
    <w:tmpl w:val="465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07D27"/>
    <w:multiLevelType w:val="hybridMultilevel"/>
    <w:tmpl w:val="096E401C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9"/>
  </w:num>
  <w:num w:numId="5">
    <w:abstractNumId w:val="0"/>
  </w:num>
  <w:num w:numId="6">
    <w:abstractNumId w:val="15"/>
  </w:num>
  <w:num w:numId="7">
    <w:abstractNumId w:val="14"/>
  </w:num>
  <w:num w:numId="8">
    <w:abstractNumId w:val="6"/>
  </w:num>
  <w:num w:numId="9">
    <w:abstractNumId w:val="19"/>
  </w:num>
  <w:num w:numId="10">
    <w:abstractNumId w:val="18"/>
  </w:num>
  <w:num w:numId="11">
    <w:abstractNumId w:val="16"/>
  </w:num>
  <w:num w:numId="12">
    <w:abstractNumId w:val="24"/>
  </w:num>
  <w:num w:numId="13">
    <w:abstractNumId w:val="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7"/>
  </w:num>
  <w:num w:numId="18">
    <w:abstractNumId w:val="17"/>
  </w:num>
  <w:num w:numId="19">
    <w:abstractNumId w:val="8"/>
  </w:num>
  <w:num w:numId="20">
    <w:abstractNumId w:val="12"/>
  </w:num>
  <w:num w:numId="21">
    <w:abstractNumId w:val="3"/>
  </w:num>
  <w:num w:numId="22">
    <w:abstractNumId w:val="22"/>
  </w:num>
  <w:num w:numId="23">
    <w:abstractNumId w:val="5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06B39"/>
    <w:rsid w:val="00110C05"/>
    <w:rsid w:val="0011195E"/>
    <w:rsid w:val="001175C6"/>
    <w:rsid w:val="00123C52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C285D"/>
    <w:rsid w:val="001D0B9D"/>
    <w:rsid w:val="001F7178"/>
    <w:rsid w:val="00221871"/>
    <w:rsid w:val="00230599"/>
    <w:rsid w:val="00237798"/>
    <w:rsid w:val="0025455C"/>
    <w:rsid w:val="00264B85"/>
    <w:rsid w:val="0027622C"/>
    <w:rsid w:val="002A4F87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3135D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A16A5"/>
    <w:rsid w:val="004A1C6C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0A94"/>
    <w:rsid w:val="005C5A90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1BAF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04924"/>
    <w:rsid w:val="007239E9"/>
    <w:rsid w:val="00732D17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47BF9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8697E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81FA4"/>
    <w:rsid w:val="00A96618"/>
    <w:rsid w:val="00AA1814"/>
    <w:rsid w:val="00AB3CAF"/>
    <w:rsid w:val="00AB3ED4"/>
    <w:rsid w:val="00AB4C23"/>
    <w:rsid w:val="00AC51DA"/>
    <w:rsid w:val="00AD4A6D"/>
    <w:rsid w:val="00AD7DAF"/>
    <w:rsid w:val="00AE7084"/>
    <w:rsid w:val="00B12CE6"/>
    <w:rsid w:val="00B1406E"/>
    <w:rsid w:val="00B41A58"/>
    <w:rsid w:val="00B41AA1"/>
    <w:rsid w:val="00B72E44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D7274"/>
    <w:rsid w:val="00CF31FD"/>
    <w:rsid w:val="00D13092"/>
    <w:rsid w:val="00D27338"/>
    <w:rsid w:val="00D31BAA"/>
    <w:rsid w:val="00D42817"/>
    <w:rsid w:val="00D53082"/>
    <w:rsid w:val="00D701FA"/>
    <w:rsid w:val="00D7194D"/>
    <w:rsid w:val="00D76445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E6BB2"/>
    <w:rsid w:val="00EF2DC3"/>
    <w:rsid w:val="00F01DDA"/>
    <w:rsid w:val="00F16EBB"/>
    <w:rsid w:val="00F204C1"/>
    <w:rsid w:val="00F56511"/>
    <w:rsid w:val="00F72033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E5F5"/>
  <w15:docId w15:val="{7883E108-CB9D-4B81-88F2-304D2085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E735-CB6B-4376-9E95-0B7C9CCB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2</cp:revision>
  <cp:lastPrinted>2015-09-25T10:05:00Z</cp:lastPrinted>
  <dcterms:created xsi:type="dcterms:W3CDTF">2026-05-29T07:41:00Z</dcterms:created>
  <dcterms:modified xsi:type="dcterms:W3CDTF">2026-05-29T07:41:00Z</dcterms:modified>
</cp:coreProperties>
</file>