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444" w:rsidRDefault="00A80444" w:rsidP="00A80444">
      <w:pPr>
        <w:jc w:val="center"/>
        <w:rPr>
          <w:rFonts w:ascii="Times New Roman" w:hAnsi="Times New Roman"/>
          <w:b/>
          <w:sz w:val="28"/>
          <w:szCs w:val="28"/>
        </w:rPr>
      </w:pPr>
      <w:r w:rsidRPr="00254016">
        <w:rPr>
          <w:rFonts w:ascii="Times New Roman" w:hAnsi="Times New Roman"/>
          <w:b/>
          <w:sz w:val="28"/>
          <w:szCs w:val="28"/>
        </w:rPr>
        <w:t>Тестовые задания</w:t>
      </w:r>
    </w:p>
    <w:p w:rsidR="00A80444" w:rsidRPr="00254016" w:rsidRDefault="00A80444" w:rsidP="00A80444">
      <w:pPr>
        <w:jc w:val="center"/>
        <w:rPr>
          <w:rFonts w:ascii="Times New Roman" w:hAnsi="Times New Roman"/>
          <w:b/>
          <w:sz w:val="28"/>
          <w:szCs w:val="28"/>
        </w:rPr>
      </w:pPr>
      <w:r w:rsidRPr="00254016">
        <w:rPr>
          <w:rFonts w:ascii="Times New Roman" w:hAnsi="Times New Roman"/>
          <w:b/>
          <w:sz w:val="28"/>
          <w:szCs w:val="28"/>
        </w:rPr>
        <w:t>Примерные оценочные материалы, применяемые при проведении</w:t>
      </w:r>
    </w:p>
    <w:p w:rsidR="00A80444" w:rsidRPr="00254016" w:rsidRDefault="00A80444" w:rsidP="00A80444">
      <w:pPr>
        <w:jc w:val="center"/>
        <w:rPr>
          <w:rFonts w:ascii="Times New Roman" w:hAnsi="Times New Roman"/>
          <w:b/>
          <w:sz w:val="28"/>
          <w:szCs w:val="28"/>
        </w:rPr>
      </w:pPr>
      <w:r w:rsidRPr="00254016">
        <w:rPr>
          <w:rFonts w:ascii="Times New Roman" w:hAnsi="Times New Roman"/>
          <w:b/>
          <w:sz w:val="28"/>
          <w:szCs w:val="28"/>
        </w:rPr>
        <w:t>промежуточной аттестации по дисциплине (модулю)</w:t>
      </w:r>
    </w:p>
    <w:p w:rsidR="00A80444" w:rsidRDefault="00A80444" w:rsidP="00A80444">
      <w:pPr>
        <w:jc w:val="center"/>
        <w:rPr>
          <w:rFonts w:ascii="Times New Roman" w:hAnsi="Times New Roman"/>
          <w:b/>
          <w:sz w:val="28"/>
          <w:szCs w:val="28"/>
        </w:rPr>
      </w:pPr>
      <w:r w:rsidRPr="00254016">
        <w:rPr>
          <w:rFonts w:ascii="Times New Roman" w:hAnsi="Times New Roman"/>
          <w:b/>
          <w:sz w:val="28"/>
          <w:szCs w:val="28"/>
        </w:rPr>
        <w:t>«</w:t>
      </w:r>
      <w:r w:rsidR="00420010">
        <w:rPr>
          <w:rFonts w:ascii="Times New Roman" w:hAnsi="Times New Roman"/>
          <w:b/>
          <w:sz w:val="28"/>
          <w:szCs w:val="28"/>
        </w:rPr>
        <w:t>Ф</w:t>
      </w:r>
      <w:r w:rsidR="008F4C96">
        <w:rPr>
          <w:rFonts w:ascii="Times New Roman" w:hAnsi="Times New Roman"/>
          <w:b/>
          <w:sz w:val="28"/>
          <w:szCs w:val="28"/>
        </w:rPr>
        <w:t>инансовый</w:t>
      </w:r>
      <w:r w:rsidR="00BE7F04">
        <w:rPr>
          <w:rFonts w:ascii="Times New Roman" w:hAnsi="Times New Roman"/>
          <w:b/>
          <w:sz w:val="28"/>
          <w:szCs w:val="28"/>
        </w:rPr>
        <w:t xml:space="preserve"> учет </w:t>
      </w:r>
      <w:r w:rsidR="00420010">
        <w:rPr>
          <w:rFonts w:ascii="Times New Roman" w:hAnsi="Times New Roman"/>
          <w:b/>
          <w:sz w:val="28"/>
          <w:szCs w:val="28"/>
        </w:rPr>
        <w:t>(продвинутый уровень)</w:t>
      </w:r>
      <w:bookmarkStart w:id="0" w:name="_GoBack"/>
      <w:bookmarkEnd w:id="0"/>
      <w:r w:rsidRPr="00254016">
        <w:rPr>
          <w:rFonts w:ascii="Times New Roman" w:hAnsi="Times New Roman"/>
          <w:b/>
          <w:sz w:val="28"/>
          <w:szCs w:val="28"/>
        </w:rPr>
        <w:t>»</w:t>
      </w:r>
    </w:p>
    <w:p w:rsidR="001272BC" w:rsidRDefault="001272BC" w:rsidP="001272B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272BC" w:rsidRDefault="001272BC" w:rsidP="002E4FB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404D7">
        <w:rPr>
          <w:rFonts w:ascii="Times New Roman" w:hAnsi="Times New Roman"/>
          <w:sz w:val="28"/>
          <w:szCs w:val="28"/>
        </w:rPr>
        <w:t>При проведении промежуточной аттестации обучающемуся предлагается дать ответы на</w:t>
      </w:r>
      <w:r w:rsidR="002E4FBB">
        <w:rPr>
          <w:rFonts w:ascii="Times New Roman" w:hAnsi="Times New Roman"/>
          <w:sz w:val="28"/>
          <w:szCs w:val="28"/>
        </w:rPr>
        <w:t xml:space="preserve"> 2 вопроса </w:t>
      </w:r>
      <w:r w:rsidRPr="00C404D7">
        <w:rPr>
          <w:rFonts w:ascii="Times New Roman" w:hAnsi="Times New Roman"/>
          <w:sz w:val="28"/>
          <w:szCs w:val="28"/>
        </w:rPr>
        <w:t>из нижеприведенного списка.</w:t>
      </w:r>
    </w:p>
    <w:p w:rsidR="00A80444" w:rsidRDefault="00A80444" w:rsidP="00A80444">
      <w:pPr>
        <w:pStyle w:val="a6"/>
        <w:spacing w:after="0"/>
        <w:jc w:val="center"/>
        <w:rPr>
          <w:rFonts w:ascii="Times New Roman" w:hAnsi="Times New Roman"/>
          <w:sz w:val="28"/>
          <w:szCs w:val="28"/>
        </w:rPr>
      </w:pPr>
      <w:r w:rsidRPr="00467E3A">
        <w:rPr>
          <w:rFonts w:ascii="Times New Roman" w:hAnsi="Times New Roman"/>
          <w:sz w:val="28"/>
          <w:szCs w:val="28"/>
        </w:rPr>
        <w:t>Примерный перечень вопросов</w:t>
      </w:r>
    </w:p>
    <w:p w:rsidR="001272BC" w:rsidRPr="00254016" w:rsidRDefault="001272BC" w:rsidP="00A80444">
      <w:pPr>
        <w:pStyle w:val="a6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Классификация основных средств на железнодорожном транспорте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Способы поступления основных средств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Приобретение основных средств за плату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Безвозмездное поступление основных средств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поступления основных средств, выявленных при инвентаризации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поступления основных средств в порядке внутрихозяйственного перемещения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Особенности учета поступления инвестиционных активов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Изменение первоначальной стоимости основных средств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Переоценка основных средств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Амортизация основных средств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Причины выбытия основных средств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выбытия основных средств в случае их продажи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выбытия основных средств при внесении их в уставный капитал другой организации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выбытия основных средств при выявлении их недостачи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выбытия основных средств в случае их безвозмездной передачи другой организации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Нематериальные активы: экон</w:t>
      </w:r>
      <w:r>
        <w:rPr>
          <w:rFonts w:ascii="Times New Roman" w:hAnsi="Times New Roman"/>
          <w:sz w:val="28"/>
          <w:szCs w:val="28"/>
        </w:rPr>
        <w:t>омическая сущность и назначение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поступления нематериальных активов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расходов на научно–исследовательские и опытно–конструкторские работы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амортизации нематериальных активов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Переоценка стоимости нематериальных активов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выбытия нематериальных активов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Понятие материально–производственных запасов и счета, используемые для их учета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Аналитический учет МПЗ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Особенности учета материалов верхнего строения пути (МВСП)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Особенности учета форменной, корпоративной одежды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недостачи и порчи МПЗ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lastRenderedPageBreak/>
        <w:t>Резервы под снижение стоимости МПЗ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Денежные средства и денежные эквиваленты: структура и задачи их учета в ОАО «РЖД»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денежных средств и денежных документов в кассе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операций по расчетным счетам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операций на валютных счетах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операций по специальным счетам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переводов в пути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денежных эквивалентов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Понятие и классификация финансовых вложений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финансовых вложений на счетах бухгалтерского учета в ОАО «РЖД»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Первоначальная оценка финансовых вложений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Последующая оценка финансовых вложений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Оценка финансовых вложений при их выбытии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доходов и расходов по финансовым вложениям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Обесценение финансовых вложений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имущества, переданного в оперативное управление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Экономическая сущность дебиторской и кредиторской задолженности</w:t>
      </w:r>
      <w:r w:rsidRPr="00B50D12">
        <w:rPr>
          <w:rFonts w:ascii="Times New Roman" w:hAnsi="Times New Roman"/>
          <w:sz w:val="28"/>
          <w:szCs w:val="28"/>
        </w:rPr>
        <w:tab/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Общие положения об обязательствах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Классификация и виды задолженности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Инвентаризация расчетов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Основания прекращения обязательств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Списание задолженности до истечения срока исковой давности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Отражение в бухгалтерском учете расчетов с поставщиками и подрядчиками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Расчеты по экспортным и импортным операциям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экспортных операций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импортных операций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внутрихозяйственных расчетов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Основные различия между бухгалтерским и налоговым учетом дебиторской и кредиторской задолженности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Определение, формы оплаты труда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Документальное оформление расчетов с персоналом по оплате труда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Организация синтетического и аналитического учета расчетов с персоналом по оплате труда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Начисления за счет средств Фонда социального страхования РФ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Порядок расчета отпускных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Оценочные обязательства по оплате отпусков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Удержания, связанные с оплатой труда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Выплата заработной платы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внутрихозяйственных расчетов в части оплаты труда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расчетов с подотчетными лицами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Расчеты с персоналом по прочим операциям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Страховые взносы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lastRenderedPageBreak/>
        <w:t>Внутрихозяйственные расчеты: их сущность и классификация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Организация бухгалтерского учета внутрихозяйственных расчетов в ОАО «РЖД»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Внутрихозяйственные расчеты ОАО «РЖД» по передаче доходов, связанных с перевозками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Внутрихозяйственные расчеты ОАО «РЖД» по передаче расходов, связанных с перевозками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Внутрихозяйственные расчеты ОАО «РЖД» по передаче доходов, расходов и прочих сумм, связанных с прочими обычными видами деятельности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Внутрихозяйственные расчеты затрат на приобретение оборудования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Внутрихозяйственные расчеты по передаче запасов и затрат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уставного капитала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собственных акций, выкупленных у акционеров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резервного капитала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добавочного капитала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нераспределенной прибыли (непокрытого убытка)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Отражение в учете корректировки нераспределенной прибыли (непокрытого убытка) в связи с изменениями учетной политики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Определение оценочных резервов и условных обязательств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Резерв под снижение стоимости материальных ценностей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Резервы под обесценение финансовых вложений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Резервы по сомнительным долгам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Оценочные обязательства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Учет условных обязательств и условных активов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Классификация доходов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Отражение доходов в учете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Классификация расходов и затрат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>Отражение расходов в учете</w:t>
      </w:r>
    </w:p>
    <w:p w:rsidR="00A80444" w:rsidRPr="00B50D12" w:rsidRDefault="00A80444" w:rsidP="00A80444">
      <w:pPr>
        <w:pStyle w:val="a6"/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left="567" w:hanging="567"/>
        <w:jc w:val="both"/>
        <w:rPr>
          <w:rFonts w:ascii="Times New Roman" w:hAnsi="Times New Roman"/>
          <w:sz w:val="28"/>
          <w:szCs w:val="28"/>
        </w:rPr>
      </w:pPr>
      <w:r w:rsidRPr="00B50D12">
        <w:rPr>
          <w:rFonts w:ascii="Times New Roman" w:hAnsi="Times New Roman"/>
          <w:sz w:val="28"/>
          <w:szCs w:val="28"/>
        </w:rPr>
        <w:t xml:space="preserve">Учет расчетов по налогам </w:t>
      </w:r>
    </w:p>
    <w:p w:rsidR="00A80444" w:rsidRPr="00B50D12" w:rsidRDefault="00A80444" w:rsidP="00A8044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E4FBB" w:rsidRDefault="002E4FBB" w:rsidP="002E4FBB">
      <w:pPr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 проведении промежуточной аттестации обучающемуся предлагается дать ответы на 15 тестовых заданий из нижеприведенного списка.</w:t>
      </w:r>
    </w:p>
    <w:p w:rsidR="002E4FBB" w:rsidRDefault="002E4FBB" w:rsidP="002E4FBB">
      <w:pPr>
        <w:ind w:firstLine="709"/>
        <w:jc w:val="center"/>
        <w:rPr>
          <w:bCs/>
          <w:sz w:val="16"/>
          <w:szCs w:val="16"/>
        </w:rPr>
      </w:pPr>
      <w:r>
        <w:rPr>
          <w:rFonts w:ascii="Times New Roman" w:hAnsi="Times New Roman"/>
          <w:bCs/>
          <w:sz w:val="28"/>
          <w:szCs w:val="28"/>
        </w:rPr>
        <w:t>Примерный перечень тестовых заданий</w:t>
      </w:r>
    </w:p>
    <w:p w:rsidR="002E4FBB" w:rsidRDefault="002E4FBB" w:rsidP="002E4FBB">
      <w:pPr>
        <w:shd w:val="clear" w:color="auto" w:fill="FFFFFF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2E4FBB" w:rsidRDefault="002E4FBB" w:rsidP="002E4FBB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Задачами финансового учета являются: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Ведение учета способом двойной записи и оценка имущества в рублях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Формирование полной и достоверной информации о деятельности организации и ее имущественном положении, необходимой пользователям бухгалтерской отчетности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Раздельное отражение затрат на производство и капитальные вложения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Предотвращение отрицательных результатов хозяйствования и выявление </w:t>
      </w:r>
      <w:r>
        <w:rPr>
          <w:rFonts w:ascii="Times New Roman" w:hAnsi="Times New Roman"/>
          <w:sz w:val="28"/>
          <w:szCs w:val="28"/>
        </w:rPr>
        <w:lastRenderedPageBreak/>
        <w:t>внутрихозяйственных резервов для обеспечения финансовой устойчивости организации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Обеспечение сохранности имущества организации</w:t>
      </w: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E4FBB" w:rsidRDefault="002E4FBB" w:rsidP="002E4FBB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Основными требованиями к ведению финансового учета являются: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Государственное регулирование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Непрерывность учета во времени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Обеспечение сохранности имущества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Отражение хозяйственных операций на счетах без каких-либо пропусков и изъятий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Широкие права организации</w:t>
      </w: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E4FBB" w:rsidRDefault="002E4FBB" w:rsidP="002E4FBB">
      <w:pPr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Финансовый учет, в системе управления организацией, выполняет функции: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Контрольную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Информационную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Формирование достоверной информации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Предотвращения отрицательных результатов деятельности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Аналитическую</w:t>
      </w: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Финансовый бухгалтерский учет осуществляется с целью получения информации, необходимой для ... пользователей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Внутренних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Внешних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6.  </w:t>
      </w:r>
      <w:r>
        <w:rPr>
          <w:rFonts w:ascii="Times New Roman" w:hAnsi="Times New Roman"/>
          <w:b/>
          <w:sz w:val="28"/>
          <w:szCs w:val="28"/>
        </w:rPr>
        <w:t>Норма (стандарт) в финансовом учете – это ...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Совокупность форм отчетности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Инструкции, разработанные организацией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Совокупность первичных документов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Комплекс документально-оформленных правил ведения бухгалтерского учета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i/>
          <w:iCs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Национальные стандарты финансового носят для конкретной страны ... характер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Обязательный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Рекомендательный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8.  </w:t>
      </w:r>
      <w:r>
        <w:rPr>
          <w:rFonts w:ascii="Times New Roman" w:hAnsi="Times New Roman"/>
          <w:b/>
          <w:sz w:val="28"/>
          <w:szCs w:val="28"/>
        </w:rPr>
        <w:t>Подлежит ли амортизации земля?</w:t>
      </w:r>
    </w:p>
    <w:p w:rsidR="002E4FBB" w:rsidRDefault="002E4FBB" w:rsidP="002E4FBB">
      <w:pPr>
        <w:pStyle w:val="a6"/>
        <w:widowControl w:val="0"/>
        <w:numPr>
          <w:ilvl w:val="0"/>
          <w:numId w:val="4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да; </w:t>
      </w:r>
    </w:p>
    <w:p w:rsidR="002E4FBB" w:rsidRDefault="002E4FBB" w:rsidP="002E4FBB">
      <w:pPr>
        <w:pStyle w:val="a6"/>
        <w:widowControl w:val="0"/>
        <w:numPr>
          <w:ilvl w:val="0"/>
          <w:numId w:val="4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нет; </w:t>
      </w:r>
    </w:p>
    <w:p w:rsidR="002E4FBB" w:rsidRDefault="002E4FBB" w:rsidP="002E4FBB">
      <w:pPr>
        <w:pStyle w:val="a6"/>
        <w:widowControl w:val="0"/>
        <w:numPr>
          <w:ilvl w:val="0"/>
          <w:numId w:val="4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налоговом учете нет, в бухгалтерском учете да;</w:t>
      </w:r>
    </w:p>
    <w:p w:rsidR="002E4FBB" w:rsidRDefault="002E4FBB" w:rsidP="002E4FBB">
      <w:pPr>
        <w:pStyle w:val="a6"/>
        <w:widowControl w:val="0"/>
        <w:numPr>
          <w:ilvl w:val="0"/>
          <w:numId w:val="4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налоговом учете да, в бухгалтерском учете нет.</w:t>
      </w: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9.  Факторы, влияющим на выбор учетной политики и зависящими от организационно</w:t>
      </w:r>
      <w:r>
        <w:rPr>
          <w:rFonts w:ascii="Times New Roman" w:hAnsi="Times New Roman"/>
          <w:b/>
          <w:sz w:val="28"/>
          <w:szCs w:val="28"/>
        </w:rPr>
        <w:t xml:space="preserve"> правового построения предприятия: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Налоговую политику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Величину организации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 Свободу в ценообразовании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Правовой статус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Начисление льгот</w:t>
      </w: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10. Факторы, влияющие на выбор учетной политики и не зависящие от организационно правового построения</w:t>
      </w:r>
      <w:r>
        <w:rPr>
          <w:rFonts w:ascii="Times New Roman" w:hAnsi="Times New Roman"/>
          <w:b/>
          <w:sz w:val="28"/>
          <w:szCs w:val="28"/>
        </w:rPr>
        <w:t xml:space="preserve"> предприятия: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Сфера деятельности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Величина организации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3.Свобода в ценообразовании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4.Правовой статус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5.Наличие льгот</w:t>
      </w: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11.   Учетная</w:t>
      </w:r>
      <w:r>
        <w:rPr>
          <w:rFonts w:ascii="Times New Roman" w:hAnsi="Times New Roman"/>
          <w:b/>
          <w:sz w:val="28"/>
          <w:szCs w:val="28"/>
        </w:rPr>
        <w:t xml:space="preserve"> политика организации может быть изменена в случаях: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Смены главного бухгалтера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Реорганизации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Освоения новых видов продукции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Изменений в законодательстве</w:t>
      </w: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12.   Организационно-технический аспект учетной политики организации включает: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Варианты учета затрат на производства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Организацию работы бухгалтерии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Инвентаризацию и отчетность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Порядок учета курсовых разниц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Состав резервов предстоящих расходов </w:t>
      </w: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13.  </w:t>
      </w:r>
      <w:r>
        <w:rPr>
          <w:rFonts w:ascii="Times New Roman" w:hAnsi="Times New Roman"/>
          <w:b/>
          <w:sz w:val="28"/>
          <w:szCs w:val="28"/>
        </w:rPr>
        <w:t xml:space="preserve">Методический аспект учетной политики организации включает: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1.Организацию работы бухгалтерии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2.Дивидендную политику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3.Инвентаризацию и отчетность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4.Порядок учета курсовых разниц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5.Состав резервов предстоящих расходов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14.  </w:t>
      </w:r>
      <w:r>
        <w:rPr>
          <w:rFonts w:ascii="Times New Roman" w:hAnsi="Times New Roman"/>
          <w:b/>
          <w:sz w:val="28"/>
          <w:szCs w:val="28"/>
        </w:rPr>
        <w:t>Способы ведения бухгалтерского учета: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Стоимостное измерение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2.Методы погашения стоимости активов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3.Способы применения счетов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4.Совокупность используемых регистров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5.Способы обработки информации</w:t>
      </w: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2E4FBB" w:rsidRDefault="002E4FBB" w:rsidP="002E4FBB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15. Правила ведения бухгалтерского учета – это признание и соблюдение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Инструкций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Положений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Законов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Допущений 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Требований</w:t>
      </w:r>
    </w:p>
    <w:p w:rsidR="002E4FBB" w:rsidRDefault="002E4FBB" w:rsidP="002E4FBB">
      <w:pPr>
        <w:widowControl w:val="0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FBB" w:rsidRDefault="002E4FBB" w:rsidP="002E4FBB">
      <w:pPr>
        <w:spacing w:before="100" w:beforeAutospacing="1" w:after="100" w:afterAutospacing="1" w:line="24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16. Капитальные вложения признаются в бухгалтерском учете при соблюдении следующих условий:</w:t>
      </w:r>
    </w:p>
    <w:p w:rsidR="002E4FBB" w:rsidRDefault="002E4FBB" w:rsidP="002E4FBB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ind w:left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понесенные затраты обеспечат получение в будущем экономических выгод организацией, (достижение некоммерческой организацией целей, ради которых она создана) в течение периода более 12 месяцев или обычного операционного цикла, превышающего 12 месяцев;</w:t>
      </w:r>
    </w:p>
    <w:p w:rsidR="002E4FBB" w:rsidRDefault="002E4FBB" w:rsidP="002E4FBB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ind w:left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определена сумма понесенных затрат или приравненная к ней величин;</w:t>
      </w:r>
    </w:p>
    <w:p w:rsidR="002E4FBB" w:rsidRDefault="002E4FBB" w:rsidP="002E4FBB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ind w:left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одновременное соблюдение условий.</w:t>
      </w:r>
    </w:p>
    <w:p w:rsidR="002E4FBB" w:rsidRDefault="002E4FBB" w:rsidP="002E4FBB">
      <w:pPr>
        <w:spacing w:after="16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17. Каков лимит стоимости основных средств по ФСБУ 06/2020:</w:t>
      </w:r>
    </w:p>
    <w:p w:rsidR="002E4FBB" w:rsidRDefault="002E4FBB" w:rsidP="002E4FBB">
      <w:pPr>
        <w:pStyle w:val="a6"/>
        <w:numPr>
          <w:ilvl w:val="0"/>
          <w:numId w:val="6"/>
        </w:numPr>
        <w:spacing w:after="16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40 000 руб.;</w:t>
      </w:r>
    </w:p>
    <w:p w:rsidR="002E4FBB" w:rsidRDefault="002E4FBB" w:rsidP="002E4FBB">
      <w:pPr>
        <w:pStyle w:val="a6"/>
        <w:numPr>
          <w:ilvl w:val="0"/>
          <w:numId w:val="6"/>
        </w:numPr>
        <w:spacing w:after="16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100 000 руб.;</w:t>
      </w:r>
    </w:p>
    <w:p w:rsidR="002E4FBB" w:rsidRDefault="002E4FBB" w:rsidP="002E4FBB">
      <w:pPr>
        <w:pStyle w:val="a6"/>
        <w:numPr>
          <w:ilvl w:val="0"/>
          <w:numId w:val="6"/>
        </w:numPr>
        <w:spacing w:after="16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устанавливается организацией самостоятельно.</w:t>
      </w:r>
    </w:p>
    <w:p w:rsidR="002E4FBB" w:rsidRDefault="002E4FBB" w:rsidP="002E4FBB">
      <w:pPr>
        <w:spacing w:after="160" w:line="240" w:lineRule="auto"/>
        <w:ind w:left="1080"/>
        <w:contextualSpacing/>
        <w:jc w:val="both"/>
        <w:rPr>
          <w:rFonts w:ascii="Times New Roman" w:hAnsi="Times New Roman"/>
          <w:sz w:val="28"/>
          <w:szCs w:val="28"/>
        </w:rPr>
      </w:pPr>
    </w:p>
    <w:p w:rsidR="002E4FBB" w:rsidRDefault="002E4FBB" w:rsidP="002E4FBB">
      <w:pPr>
        <w:spacing w:after="160" w:line="240" w:lineRule="auto"/>
        <w:contextualSpacing/>
        <w:jc w:val="both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18. Доведение учетной стоимости товаров и готовой продукции до справедливой стоимости на дату перехода на ФСБУ 5/2019 оформляется записями:</w:t>
      </w:r>
    </w:p>
    <w:p w:rsidR="002E4FBB" w:rsidRDefault="002E4FBB" w:rsidP="002E4FBB">
      <w:pPr>
        <w:pStyle w:val="a6"/>
        <w:numPr>
          <w:ilvl w:val="0"/>
          <w:numId w:val="7"/>
        </w:numPr>
        <w:spacing w:after="16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Дт</w:t>
      </w:r>
      <w:proofErr w:type="spellEnd"/>
      <w:r>
        <w:rPr>
          <w:rFonts w:ascii="Times New Roman" w:hAnsi="Times New Roman"/>
          <w:sz w:val="28"/>
          <w:szCs w:val="28"/>
        </w:rPr>
        <w:t xml:space="preserve"> 41, 43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Кт</w:t>
      </w:r>
      <w:proofErr w:type="spellEnd"/>
      <w:r>
        <w:rPr>
          <w:rFonts w:ascii="Times New Roman" w:hAnsi="Times New Roman"/>
          <w:sz w:val="28"/>
          <w:szCs w:val="28"/>
        </w:rPr>
        <w:t xml:space="preserve"> 84, 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Дт</w:t>
      </w:r>
      <w:proofErr w:type="spellEnd"/>
      <w:r>
        <w:rPr>
          <w:rFonts w:ascii="Times New Roman" w:hAnsi="Times New Roman"/>
          <w:sz w:val="28"/>
          <w:szCs w:val="28"/>
        </w:rPr>
        <w:t xml:space="preserve"> 84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Кт</w:t>
      </w:r>
      <w:proofErr w:type="spellEnd"/>
      <w:r>
        <w:rPr>
          <w:rFonts w:ascii="Times New Roman" w:hAnsi="Times New Roman"/>
          <w:sz w:val="28"/>
          <w:szCs w:val="28"/>
        </w:rPr>
        <w:t xml:space="preserve"> 41,43;</w:t>
      </w:r>
    </w:p>
    <w:p w:rsidR="002E4FBB" w:rsidRDefault="002E4FBB" w:rsidP="002E4FBB">
      <w:pPr>
        <w:pStyle w:val="a6"/>
        <w:numPr>
          <w:ilvl w:val="0"/>
          <w:numId w:val="7"/>
        </w:numPr>
        <w:spacing w:after="16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Дт</w:t>
      </w:r>
      <w:proofErr w:type="spellEnd"/>
      <w:r>
        <w:rPr>
          <w:rFonts w:ascii="Times New Roman" w:hAnsi="Times New Roman"/>
          <w:sz w:val="28"/>
          <w:szCs w:val="28"/>
        </w:rPr>
        <w:t xml:space="preserve"> 41, 43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Кт</w:t>
      </w:r>
      <w:proofErr w:type="spellEnd"/>
      <w:r>
        <w:rPr>
          <w:rFonts w:ascii="Times New Roman" w:hAnsi="Times New Roman"/>
          <w:sz w:val="28"/>
          <w:szCs w:val="28"/>
        </w:rPr>
        <w:t xml:space="preserve"> 91.1</w:t>
      </w:r>
    </w:p>
    <w:p w:rsidR="002E4FBB" w:rsidRDefault="002E4FBB" w:rsidP="002E4FBB">
      <w:pPr>
        <w:pStyle w:val="a6"/>
        <w:numPr>
          <w:ilvl w:val="0"/>
          <w:numId w:val="7"/>
        </w:numPr>
        <w:spacing w:after="16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Дт</w:t>
      </w:r>
      <w:proofErr w:type="spellEnd"/>
      <w:r>
        <w:rPr>
          <w:rFonts w:ascii="Times New Roman" w:hAnsi="Times New Roman"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Кт</w:t>
      </w:r>
      <w:proofErr w:type="spellEnd"/>
      <w:r>
        <w:rPr>
          <w:rFonts w:ascii="Times New Roman" w:hAnsi="Times New Roman"/>
          <w:sz w:val="28"/>
          <w:szCs w:val="28"/>
        </w:rPr>
        <w:t xml:space="preserve"> 91.1</w:t>
      </w:r>
    </w:p>
    <w:p w:rsidR="002E4FBB" w:rsidRDefault="002E4FBB" w:rsidP="002E4FBB">
      <w:pPr>
        <w:pStyle w:val="a6"/>
        <w:spacing w:after="160" w:line="240" w:lineRule="auto"/>
        <w:ind w:left="644"/>
        <w:contextualSpacing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2E4FBB" w:rsidRDefault="002E4FBB" w:rsidP="002E4FBB">
      <w:pPr>
        <w:spacing w:after="16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19. Запасы могут быть списаны в определенный момент времени:</w:t>
      </w:r>
    </w:p>
    <w:p w:rsidR="002E4FBB" w:rsidRDefault="002E4FBB" w:rsidP="002E4FBB">
      <w:pPr>
        <w:pStyle w:val="a6"/>
        <w:numPr>
          <w:ilvl w:val="0"/>
          <w:numId w:val="8"/>
        </w:numPr>
        <w:spacing w:after="0" w:line="240" w:lineRule="auto"/>
        <w:ind w:left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Признание выручки от продажи;</w:t>
      </w:r>
    </w:p>
    <w:p w:rsidR="002E4FBB" w:rsidRDefault="002E4FBB" w:rsidP="002E4FBB">
      <w:pPr>
        <w:pStyle w:val="a6"/>
        <w:numPr>
          <w:ilvl w:val="0"/>
          <w:numId w:val="8"/>
        </w:numPr>
        <w:spacing w:after="0" w:line="240" w:lineRule="auto"/>
        <w:ind w:left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осуществление иного списания запасов;</w:t>
      </w:r>
    </w:p>
    <w:p w:rsidR="002E4FBB" w:rsidRDefault="002E4FBB" w:rsidP="002E4FBB">
      <w:pPr>
        <w:pStyle w:val="a6"/>
        <w:numPr>
          <w:ilvl w:val="0"/>
          <w:numId w:val="8"/>
        </w:numPr>
        <w:spacing w:after="0" w:line="240" w:lineRule="auto"/>
        <w:ind w:left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отсутствие перспективы экономических выгод от дальнейшего использования;</w:t>
      </w:r>
    </w:p>
    <w:p w:rsidR="002E4FBB" w:rsidRDefault="002E4FBB" w:rsidP="002E4FBB">
      <w:pPr>
        <w:pStyle w:val="a6"/>
        <w:numPr>
          <w:ilvl w:val="0"/>
          <w:numId w:val="8"/>
        </w:numPr>
        <w:spacing w:after="0" w:line="240" w:lineRule="auto"/>
        <w:ind w:left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невозможность использования в уставной деятельности — для некоммерческих организаций;</w:t>
      </w:r>
    </w:p>
    <w:p w:rsidR="002E4FBB" w:rsidRDefault="002E4FBB" w:rsidP="002E4FBB">
      <w:pPr>
        <w:pStyle w:val="a6"/>
        <w:numPr>
          <w:ilvl w:val="0"/>
          <w:numId w:val="8"/>
        </w:numPr>
        <w:spacing w:after="0" w:line="360" w:lineRule="auto"/>
        <w:ind w:left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любой из вышеперечисленных.</w:t>
      </w:r>
    </w:p>
    <w:p w:rsidR="002E4FBB" w:rsidRDefault="002E4FBB" w:rsidP="002E4FBB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20. </w:t>
      </w:r>
      <w:proofErr w:type="spellStart"/>
      <w:r>
        <w:rPr>
          <w:rFonts w:ascii="Times New Roman" w:hAnsi="Times New Roman"/>
          <w:b/>
          <w:sz w:val="28"/>
          <w:szCs w:val="28"/>
        </w:rPr>
        <w:t>Оборотно</w:t>
      </w:r>
      <w:proofErr w:type="spellEnd"/>
      <w:r>
        <w:rPr>
          <w:rFonts w:ascii="Times New Roman" w:hAnsi="Times New Roman"/>
          <w:b/>
          <w:sz w:val="28"/>
          <w:szCs w:val="28"/>
        </w:rPr>
        <w:t>-сальдовые ведомости по счету 52 «валютный счет» ведутся в:</w:t>
      </w:r>
    </w:p>
    <w:p w:rsidR="002E4FBB" w:rsidRDefault="002E4FBB" w:rsidP="002E4FBB">
      <w:pPr>
        <w:pStyle w:val="a6"/>
        <w:numPr>
          <w:ilvl w:val="0"/>
          <w:numId w:val="9"/>
        </w:numPr>
        <w:spacing w:after="160" w:line="240" w:lineRule="auto"/>
        <w:ind w:left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Валюте</w:t>
      </w:r>
    </w:p>
    <w:p w:rsidR="002E4FBB" w:rsidRDefault="002E4FBB" w:rsidP="002E4FBB">
      <w:pPr>
        <w:pStyle w:val="a6"/>
        <w:numPr>
          <w:ilvl w:val="0"/>
          <w:numId w:val="9"/>
        </w:numPr>
        <w:spacing w:after="160" w:line="240" w:lineRule="auto"/>
        <w:ind w:left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Российских рублях</w:t>
      </w:r>
    </w:p>
    <w:p w:rsidR="002E4FBB" w:rsidRDefault="002E4FBB" w:rsidP="002E4FBB">
      <w:pPr>
        <w:pStyle w:val="a6"/>
        <w:numPr>
          <w:ilvl w:val="0"/>
          <w:numId w:val="9"/>
        </w:numPr>
        <w:spacing w:after="160" w:line="240" w:lineRule="auto"/>
        <w:ind w:left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Валюте и российских рублях</w:t>
      </w:r>
    </w:p>
    <w:p w:rsidR="005E33F6" w:rsidRDefault="005E33F6"/>
    <w:sectPr w:rsidR="005E33F6" w:rsidSect="00411279">
      <w:footerReference w:type="even" r:id="rId8"/>
      <w:footerReference w:type="default" r:id="rId9"/>
      <w:pgSz w:w="11906" w:h="16838" w:code="9"/>
      <w:pgMar w:top="1134" w:right="851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2AA" w:rsidRDefault="00EA42AA">
      <w:pPr>
        <w:spacing w:after="0" w:line="240" w:lineRule="auto"/>
      </w:pPr>
      <w:r>
        <w:separator/>
      </w:r>
    </w:p>
  </w:endnote>
  <w:endnote w:type="continuationSeparator" w:id="0">
    <w:p w:rsidR="00EA42AA" w:rsidRDefault="00EA4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79" w:rsidRDefault="001272BC" w:rsidP="0041127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1279" w:rsidRDefault="00EA42AA" w:rsidP="00411279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279" w:rsidRPr="006A068C" w:rsidRDefault="001272BC">
    <w:pPr>
      <w:pStyle w:val="a3"/>
      <w:jc w:val="center"/>
      <w:rPr>
        <w:rFonts w:ascii="Times New Roman" w:hAnsi="Times New Roman"/>
        <w:sz w:val="24"/>
        <w:szCs w:val="24"/>
      </w:rPr>
    </w:pPr>
    <w:r w:rsidRPr="006A068C">
      <w:rPr>
        <w:rFonts w:ascii="Times New Roman" w:hAnsi="Times New Roman"/>
        <w:sz w:val="24"/>
        <w:szCs w:val="24"/>
      </w:rPr>
      <w:fldChar w:fldCharType="begin"/>
    </w:r>
    <w:r w:rsidRPr="006A068C">
      <w:rPr>
        <w:rFonts w:ascii="Times New Roman" w:hAnsi="Times New Roman"/>
        <w:sz w:val="24"/>
        <w:szCs w:val="24"/>
      </w:rPr>
      <w:instrText>PAGE   \* MERGEFORMAT</w:instrText>
    </w:r>
    <w:r w:rsidRPr="006A068C">
      <w:rPr>
        <w:rFonts w:ascii="Times New Roman" w:hAnsi="Times New Roman"/>
        <w:sz w:val="24"/>
        <w:szCs w:val="24"/>
      </w:rPr>
      <w:fldChar w:fldCharType="separate"/>
    </w:r>
    <w:r w:rsidR="00420010" w:rsidRPr="00420010">
      <w:rPr>
        <w:rFonts w:ascii="Times New Roman" w:hAnsi="Times New Roman"/>
        <w:noProof/>
        <w:sz w:val="24"/>
        <w:szCs w:val="24"/>
        <w:lang w:val="ru-RU"/>
      </w:rPr>
      <w:t>1</w:t>
    </w:r>
    <w:r w:rsidRPr="006A068C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2AA" w:rsidRDefault="00EA42AA">
      <w:pPr>
        <w:spacing w:after="0" w:line="240" w:lineRule="auto"/>
      </w:pPr>
      <w:r>
        <w:separator/>
      </w:r>
    </w:p>
  </w:footnote>
  <w:footnote w:type="continuationSeparator" w:id="0">
    <w:p w:rsidR="00EA42AA" w:rsidRDefault="00EA42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4473"/>
    <w:multiLevelType w:val="hybridMultilevel"/>
    <w:tmpl w:val="3F02BB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E531DD"/>
    <w:multiLevelType w:val="multilevel"/>
    <w:tmpl w:val="9086C7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1C6A3E8A"/>
    <w:multiLevelType w:val="hybridMultilevel"/>
    <w:tmpl w:val="EBB4F264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3">
    <w:nsid w:val="1F2C048D"/>
    <w:multiLevelType w:val="hybridMultilevel"/>
    <w:tmpl w:val="83FE3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F47126"/>
    <w:multiLevelType w:val="hybridMultilevel"/>
    <w:tmpl w:val="FD8223F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2F4B19FA"/>
    <w:multiLevelType w:val="hybridMultilevel"/>
    <w:tmpl w:val="6C3E0BD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FE6481A"/>
    <w:multiLevelType w:val="hybridMultilevel"/>
    <w:tmpl w:val="99524C36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5CE92BF5"/>
    <w:multiLevelType w:val="hybridMultilevel"/>
    <w:tmpl w:val="FEDAAD3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bullet"/>
        <w:lvlText w:val=""/>
        <w:lvlJc w:val="left"/>
        <w:pPr>
          <w:ind w:left="284" w:hanging="114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444"/>
    <w:rsid w:val="001272BC"/>
    <w:rsid w:val="002E4FBB"/>
    <w:rsid w:val="00420010"/>
    <w:rsid w:val="005E33F6"/>
    <w:rsid w:val="008F4C96"/>
    <w:rsid w:val="0095047C"/>
    <w:rsid w:val="00A80444"/>
    <w:rsid w:val="00B23ADC"/>
    <w:rsid w:val="00BE7F04"/>
    <w:rsid w:val="00D21472"/>
    <w:rsid w:val="00EA4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44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80444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rsid w:val="00A80444"/>
    <w:rPr>
      <w:rFonts w:ascii="Calibri" w:eastAsia="Times New Roman" w:hAnsi="Calibri" w:cs="Times New Roman"/>
      <w:lang w:val="x-none"/>
    </w:rPr>
  </w:style>
  <w:style w:type="character" w:styleId="a5">
    <w:name w:val="page number"/>
    <w:basedOn w:val="a0"/>
    <w:rsid w:val="00A80444"/>
  </w:style>
  <w:style w:type="paragraph" w:styleId="a6">
    <w:name w:val="List Paragraph"/>
    <w:basedOn w:val="a"/>
    <w:link w:val="a7"/>
    <w:uiPriority w:val="34"/>
    <w:qFormat/>
    <w:rsid w:val="00A80444"/>
    <w:pPr>
      <w:ind w:left="708"/>
    </w:pPr>
  </w:style>
  <w:style w:type="character" w:customStyle="1" w:styleId="a7">
    <w:name w:val="Абзац списка Знак"/>
    <w:link w:val="a6"/>
    <w:uiPriority w:val="34"/>
    <w:rsid w:val="00A80444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44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80444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basedOn w:val="a0"/>
    <w:link w:val="a3"/>
    <w:rsid w:val="00A80444"/>
    <w:rPr>
      <w:rFonts w:ascii="Calibri" w:eastAsia="Times New Roman" w:hAnsi="Calibri" w:cs="Times New Roman"/>
      <w:lang w:val="x-none"/>
    </w:rPr>
  </w:style>
  <w:style w:type="character" w:styleId="a5">
    <w:name w:val="page number"/>
    <w:basedOn w:val="a0"/>
    <w:rsid w:val="00A80444"/>
  </w:style>
  <w:style w:type="paragraph" w:styleId="a6">
    <w:name w:val="List Paragraph"/>
    <w:basedOn w:val="a"/>
    <w:link w:val="a7"/>
    <w:uiPriority w:val="34"/>
    <w:qFormat/>
    <w:rsid w:val="00A80444"/>
    <w:pPr>
      <w:ind w:left="708"/>
    </w:pPr>
  </w:style>
  <w:style w:type="character" w:customStyle="1" w:styleId="a7">
    <w:name w:val="Абзац списка Знак"/>
    <w:link w:val="a6"/>
    <w:uiPriority w:val="34"/>
    <w:rsid w:val="00A8044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2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1366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</dc:creator>
  <cp:keywords/>
  <dc:description/>
  <cp:lastModifiedBy>Гришина Анастасия Сергеевна</cp:lastModifiedBy>
  <cp:revision>6</cp:revision>
  <dcterms:created xsi:type="dcterms:W3CDTF">2022-02-20T16:27:00Z</dcterms:created>
  <dcterms:modified xsi:type="dcterms:W3CDTF">2024-10-14T11:41:00Z</dcterms:modified>
</cp:coreProperties>
</file>