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44" w:rsidRPr="00254016" w:rsidRDefault="00A80444" w:rsidP="00A80444">
      <w:pPr>
        <w:jc w:val="center"/>
        <w:rPr>
          <w:rFonts w:ascii="Times New Roman" w:hAnsi="Times New Roman"/>
          <w:b/>
          <w:sz w:val="28"/>
          <w:szCs w:val="28"/>
        </w:rPr>
      </w:pPr>
      <w:r w:rsidRPr="00254016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80444" w:rsidRPr="00254016" w:rsidRDefault="00A80444" w:rsidP="00A80444">
      <w:pPr>
        <w:jc w:val="center"/>
        <w:rPr>
          <w:rFonts w:ascii="Times New Roman" w:hAnsi="Times New Roman"/>
          <w:b/>
          <w:sz w:val="28"/>
          <w:szCs w:val="28"/>
        </w:rPr>
      </w:pPr>
      <w:r w:rsidRPr="00254016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A80444" w:rsidRDefault="00A80444" w:rsidP="00A80444">
      <w:pPr>
        <w:jc w:val="center"/>
        <w:rPr>
          <w:rFonts w:ascii="Times New Roman" w:hAnsi="Times New Roman"/>
          <w:b/>
          <w:sz w:val="28"/>
          <w:szCs w:val="28"/>
        </w:rPr>
      </w:pPr>
      <w:r w:rsidRPr="00254016">
        <w:rPr>
          <w:rFonts w:ascii="Times New Roman" w:hAnsi="Times New Roman"/>
          <w:b/>
          <w:sz w:val="28"/>
          <w:szCs w:val="28"/>
        </w:rPr>
        <w:t>«</w:t>
      </w:r>
      <w:r w:rsidR="00420010">
        <w:rPr>
          <w:rFonts w:ascii="Times New Roman" w:hAnsi="Times New Roman"/>
          <w:b/>
          <w:sz w:val="28"/>
          <w:szCs w:val="28"/>
        </w:rPr>
        <w:t>Ф</w:t>
      </w:r>
      <w:r w:rsidR="008F4C96">
        <w:rPr>
          <w:rFonts w:ascii="Times New Roman" w:hAnsi="Times New Roman"/>
          <w:b/>
          <w:sz w:val="28"/>
          <w:szCs w:val="28"/>
        </w:rPr>
        <w:t>инансовый</w:t>
      </w:r>
      <w:r w:rsidR="00BE7F04">
        <w:rPr>
          <w:rFonts w:ascii="Times New Roman" w:hAnsi="Times New Roman"/>
          <w:b/>
          <w:sz w:val="28"/>
          <w:szCs w:val="28"/>
        </w:rPr>
        <w:t xml:space="preserve"> учет </w:t>
      </w:r>
      <w:r w:rsidR="00420010">
        <w:rPr>
          <w:rFonts w:ascii="Times New Roman" w:hAnsi="Times New Roman"/>
          <w:b/>
          <w:sz w:val="28"/>
          <w:szCs w:val="28"/>
        </w:rPr>
        <w:t>(продвинутый уровень)</w:t>
      </w:r>
      <w:r w:rsidRPr="00254016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1272BC" w:rsidRDefault="001272BC" w:rsidP="001272B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72BC" w:rsidRDefault="001272BC" w:rsidP="002E4F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404D7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2E4FBB">
        <w:rPr>
          <w:rFonts w:ascii="Times New Roman" w:hAnsi="Times New Roman"/>
          <w:sz w:val="28"/>
          <w:szCs w:val="28"/>
        </w:rPr>
        <w:t xml:space="preserve"> 2 вопроса </w:t>
      </w:r>
      <w:r w:rsidRPr="00C404D7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A80444" w:rsidRDefault="00A80444" w:rsidP="00A80444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  <w:r w:rsidRPr="00467E3A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1272BC" w:rsidRPr="00254016" w:rsidRDefault="001272BC" w:rsidP="00A80444">
      <w:pPr>
        <w:pStyle w:val="a6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основных средств на железнодорожном транспорте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Способы поступления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Приобретение основных средств за плату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Безвозмездное поступление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поступления основных средств, выявленных при инвентаризации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поступления основных средств в порядке внутрихозяйственного перемещения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Особенности учета поступления инвестиционных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Изменение первоначальной стоимости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Переоценка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Амортизация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Причины выбытия основных средств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в случае их продажи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при внесении их в уставный капитал другой организации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при выявлении их недостачи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основных средств в случае их безвозмездной передачи другой организации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Нематериальные активы: экон</w:t>
      </w:r>
      <w:r>
        <w:rPr>
          <w:rFonts w:ascii="Times New Roman" w:hAnsi="Times New Roman"/>
          <w:sz w:val="28"/>
          <w:szCs w:val="28"/>
        </w:rPr>
        <w:t>омическая сущность и назначение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поступления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расходов на научно–исследовательские и опытно–конструкторские работы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амортизации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Переоценка стоимости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выбытия нематериальных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Понятие материально–производственных запасов и счета, используемые для их учета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Аналитический учет МПЗ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Особенности учета материалов верхнего строения пути (МВСП)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Особенности учета форменной, корпоративной одежды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недостачи и порчи МПЗ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Резервы под снижение стоимости МПЗ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lastRenderedPageBreak/>
        <w:t>Денежные средства и денежные эквиваленты: структура и задачи их учета в ОАО «РЖД»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денежных средств и денежных документов в кассе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операций по расчетным счетам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операций на валютных счетах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операций по специальным счетам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переводов в пути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денежных эквивалентов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Понятие и классификация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финансовых вложений на счетах бухгалтерского учета в ОАО «РЖД»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Первоначальная оценка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Последующая оценка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Оценка финансовых вложений при их выбытии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доходов и расходов по финансовым вложениям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Обесценение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имущества, переданного в оперативное управление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Экономическая сущность дебиторской и кредиторской задолженности</w:t>
      </w:r>
      <w:r w:rsidRPr="00B50D12">
        <w:rPr>
          <w:rFonts w:ascii="Times New Roman" w:hAnsi="Times New Roman"/>
          <w:sz w:val="28"/>
          <w:szCs w:val="28"/>
        </w:rPr>
        <w:tab/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Общие положения об обязательствах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и виды задолженности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Инвентаризация расчетов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Основания прекращения обязательств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Списание задолженности до истечения срока исковой давности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в бухгалтерском учете расчетов с поставщиками и подрядчиками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Расчеты по экспортным и импортным операциям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экспортных операций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импортных операций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внутрихозяйственных расчетов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Основные различия между бухгалтерским и налоговым учетом дебиторской и кредиторской задолженности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Определение, формы оплаты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Документальное оформление расчетов с персоналом по оплате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Организация синтетического и аналитического учета расчетов с персоналом по оплате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Начисления за счет средств Фонда социального страхования РФ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Порядок расчета отпускных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Оценочные обязательства по оплате отпусков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Удержания, связанные с оплатой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Выплата заработной платы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внутрихозяйственных расчетов в части оплаты труда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расчетов с подотчетными лицами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Расчеты с персоналом по прочим операциям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Страховые взносы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расчеты: их сущность и классификация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lastRenderedPageBreak/>
        <w:t>Организация бухгалтерского учета внутрихозяйственных расчетов в ОАО «РЖД»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 ОАО «РЖД» по передаче доходов, связанных с перевозками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 ОАО «РЖД» по передаче расходов, связанных с перевозками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 ОАО «РЖД» по передаче доходов, расходов и прочих сумм, связанных с прочими обычными видами деятельности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 затрат на приобретение оборудования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Внутрихозяйственные расчеты по передаче запасов и затрат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уставного капитала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собственных акций, выкупленных у акционеров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резервного капитала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добавочного капитала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нераспределенной прибыли (непокрытого убытка)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в учете корректировки нераспределенной прибыли (непокрытого убытка) в связи с изменениями учетной политики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Определение оценочных резервов и условных обязательств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 под снижение стоимости материальных ценностей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Резервы под обесценение финансовых вложений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Резервы по сомнительным долгам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Оценочные обязательства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Учет условных обязательств и условных активов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доходов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доходов в учете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Классификация расходов и затрат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>Отражение расходов в учете</w:t>
      </w:r>
    </w:p>
    <w:p w:rsidR="00A80444" w:rsidRPr="00B50D12" w:rsidRDefault="00A80444" w:rsidP="00A80444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50D12">
        <w:rPr>
          <w:rFonts w:ascii="Times New Roman" w:hAnsi="Times New Roman"/>
          <w:sz w:val="28"/>
          <w:szCs w:val="28"/>
        </w:rPr>
        <w:t xml:space="preserve">Учет расчетов по налогам </w:t>
      </w:r>
    </w:p>
    <w:p w:rsidR="00A80444" w:rsidRPr="00B50D12" w:rsidRDefault="00A80444" w:rsidP="00A804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FBB" w:rsidRDefault="002E4FBB" w:rsidP="002E4FBB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E4FBB" w:rsidRDefault="002E4FBB" w:rsidP="002E4FBB">
      <w:pPr>
        <w:ind w:firstLine="709"/>
        <w:jc w:val="center"/>
        <w:rPr>
          <w:bCs/>
          <w:sz w:val="16"/>
          <w:szCs w:val="16"/>
        </w:rPr>
      </w:pPr>
      <w:r>
        <w:rPr>
          <w:rFonts w:ascii="Times New Roman" w:hAnsi="Times New Roman"/>
          <w:bCs/>
          <w:sz w:val="28"/>
          <w:szCs w:val="28"/>
        </w:rPr>
        <w:t>Примерный перечень тестовых заданий</w:t>
      </w:r>
    </w:p>
    <w:p w:rsidR="002E4FBB" w:rsidRDefault="002E4FBB" w:rsidP="002E4FBB">
      <w:pPr>
        <w:shd w:val="clear" w:color="auto" w:fill="FFFFFF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E4FBB" w:rsidRDefault="002E4FBB" w:rsidP="002E4FBB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Задачами финансового учета являются: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Ведение учета способом двойной записи и оценка имущества в рублях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Формирование полной и достоверной информации о деятельности организации и ее имущественном положении, необходимой пользователям бухгалтерской отчетности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Раздельное отражение затрат на производство и капитальные вложения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Предотвращение отрицательных результатов хозяйствования и выявление внутрихозяйственных резервов для обеспечения финансовой устойчивости </w:t>
      </w:r>
      <w:r>
        <w:rPr>
          <w:rFonts w:ascii="Times New Roman" w:hAnsi="Times New Roman"/>
          <w:sz w:val="28"/>
          <w:szCs w:val="28"/>
        </w:rPr>
        <w:lastRenderedPageBreak/>
        <w:t>организации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Обеспечение сохранности имущества организации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Основными требованиями к ведению финансового учета являются: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Государственное регулирование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Непрерывность учета во времени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Обеспечение сохранности имущества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Отражение хозяйственных операций на счетах без каких-либо пропусков и изъятий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Широкие права организации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Финансовый учет, в системе управления организацией, выполняет функции: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Контрольную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Информационную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Формирование достоверной информации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Предотвращения отрицательных результатов деятельности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Аналитическую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Финансовый бухгалтерский учет осуществляется с целью получения информации, необходимой для ... пользователей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Внутренних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Внешних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6.  </w:t>
      </w:r>
      <w:r>
        <w:rPr>
          <w:rFonts w:ascii="Times New Roman" w:hAnsi="Times New Roman"/>
          <w:b/>
          <w:sz w:val="28"/>
          <w:szCs w:val="28"/>
        </w:rPr>
        <w:t>Норма (стандарт) в финансовом учете – это ...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Совокупность форм отчетности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Инструкции, разработанные организацией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Совокупность первичных документов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Комплекс документально-оформленных правил ведения бухгалтерского учета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Национальные стандарты финансового носят для конкретной страны ... характер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Обязательный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Рекомендательный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8.  </w:t>
      </w:r>
      <w:r>
        <w:rPr>
          <w:rFonts w:ascii="Times New Roman" w:hAnsi="Times New Roman"/>
          <w:b/>
          <w:sz w:val="28"/>
          <w:szCs w:val="28"/>
        </w:rPr>
        <w:t>Подлежит ли амортизации земля?</w:t>
      </w:r>
    </w:p>
    <w:p w:rsidR="002E4FBB" w:rsidRDefault="002E4FBB" w:rsidP="002E4FBB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да; </w:t>
      </w:r>
    </w:p>
    <w:p w:rsidR="002E4FBB" w:rsidRDefault="002E4FBB" w:rsidP="002E4FBB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нет; </w:t>
      </w:r>
    </w:p>
    <w:p w:rsidR="002E4FBB" w:rsidRDefault="002E4FBB" w:rsidP="002E4FBB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налоговом учете нет, в бухгалтерском учете да;</w:t>
      </w:r>
    </w:p>
    <w:p w:rsidR="002E4FBB" w:rsidRDefault="002E4FBB" w:rsidP="002E4FBB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налоговом учете да, в бухгалтерском учете нет.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9.  Факторы, влияющим на выбор учетной политики и зависящими от организационно</w:t>
      </w:r>
      <w:r>
        <w:rPr>
          <w:rFonts w:ascii="Times New Roman" w:hAnsi="Times New Roman"/>
          <w:b/>
          <w:sz w:val="28"/>
          <w:szCs w:val="28"/>
        </w:rPr>
        <w:t xml:space="preserve"> правового построения предприятия: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Налоговую политику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Величину организации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Свободу в ценообразовании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Правовой статус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Начисление льгот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10. Факторы, влияющие на выбор учетной политики и не зависящие от организационно правового построения</w:t>
      </w:r>
      <w:r>
        <w:rPr>
          <w:rFonts w:ascii="Times New Roman" w:hAnsi="Times New Roman"/>
          <w:b/>
          <w:sz w:val="28"/>
          <w:szCs w:val="28"/>
        </w:rPr>
        <w:t xml:space="preserve"> предприятия: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Сфера деятельности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Величина организации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3.Свобода в ценообразовании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4.Правовой статус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5.Наличие льгот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11.   Учетная</w:t>
      </w:r>
      <w:r>
        <w:rPr>
          <w:rFonts w:ascii="Times New Roman" w:hAnsi="Times New Roman"/>
          <w:b/>
          <w:sz w:val="28"/>
          <w:szCs w:val="28"/>
        </w:rPr>
        <w:t xml:space="preserve"> политика организации может быть изменена в случаях: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Смены главного бухгалтера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Реорганизации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Освоения новых видов продукции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Изменений в законодательстве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  Организационно-технический аспект учетной политики организации включает: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Варианты учета затрат на производства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Организацию работы бухгалтерии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Инвентаризацию и отчетность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Порядок учета курсовых разниц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 резервов предстоящих расходов 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13.  </w:t>
      </w:r>
      <w:r>
        <w:rPr>
          <w:rFonts w:ascii="Times New Roman" w:hAnsi="Times New Roman"/>
          <w:b/>
          <w:sz w:val="28"/>
          <w:szCs w:val="28"/>
        </w:rPr>
        <w:t xml:space="preserve">Методический аспект учетной политики организации включает: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1.Организацию работы бухгалтерии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2.Дивидендную политику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3.Инвентаризацию и отчетность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4.Порядок учета курсовых разниц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5.Состав резервов предстоящих расходов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14.  </w:t>
      </w:r>
      <w:r>
        <w:rPr>
          <w:rFonts w:ascii="Times New Roman" w:hAnsi="Times New Roman"/>
          <w:b/>
          <w:sz w:val="28"/>
          <w:szCs w:val="28"/>
        </w:rPr>
        <w:t>Способы ведения бухгалтерского учета: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Стоимостное измерение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2.Методы погашения стоимости активов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3.Способы применения счетов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4.Совокупность используемых регистров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5.Способы обработки информации</w:t>
      </w: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4FBB" w:rsidRDefault="002E4FBB" w:rsidP="002E4FB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Правила ведения бухгалтерского учета – это признание и соблюдение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Инструкций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Положений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Законов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Допущений 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Требований</w:t>
      </w:r>
    </w:p>
    <w:p w:rsidR="002E4FBB" w:rsidRDefault="002E4FBB" w:rsidP="002E4FB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FBB" w:rsidRDefault="002E4FBB" w:rsidP="002E4FB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16. Капитальные вложения признаются в бухгалтерском учете при соблюдении следующих условий:</w:t>
      </w:r>
    </w:p>
    <w:p w:rsidR="002E4FBB" w:rsidRDefault="002E4FBB" w:rsidP="002E4FBB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понесенные затраты обеспечат получение в будущем экономических выгод организацией, (достижение некоммерческой организацией целей, ради которых она создана) в течение периода более 12 месяцев или обычного операционного цикла, превышающего 12 месяцев;</w:t>
      </w:r>
    </w:p>
    <w:p w:rsidR="002E4FBB" w:rsidRDefault="002E4FBB" w:rsidP="002E4FBB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определена сумма понесенных затрат или приравненная к ней величин;</w:t>
      </w:r>
    </w:p>
    <w:p w:rsidR="002E4FBB" w:rsidRDefault="002E4FBB" w:rsidP="002E4FBB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одновременное соблюдение условий.</w:t>
      </w:r>
    </w:p>
    <w:p w:rsidR="002E4FBB" w:rsidRDefault="002E4FBB" w:rsidP="002E4FBB">
      <w:pPr>
        <w:spacing w:after="16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 Каков лимит стоимости основных средств по ФСБУ 06/2020:</w:t>
      </w:r>
    </w:p>
    <w:p w:rsidR="002E4FBB" w:rsidRDefault="002E4FBB" w:rsidP="002E4FBB">
      <w:pPr>
        <w:pStyle w:val="a6"/>
        <w:numPr>
          <w:ilvl w:val="0"/>
          <w:numId w:val="6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40 000 руб.;</w:t>
      </w:r>
    </w:p>
    <w:p w:rsidR="002E4FBB" w:rsidRDefault="002E4FBB" w:rsidP="002E4FBB">
      <w:pPr>
        <w:pStyle w:val="a6"/>
        <w:numPr>
          <w:ilvl w:val="0"/>
          <w:numId w:val="6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100 000 руб.;</w:t>
      </w:r>
    </w:p>
    <w:p w:rsidR="002E4FBB" w:rsidRDefault="002E4FBB" w:rsidP="002E4FBB">
      <w:pPr>
        <w:pStyle w:val="a6"/>
        <w:numPr>
          <w:ilvl w:val="0"/>
          <w:numId w:val="6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устанавливается организацией самостоятельно.</w:t>
      </w:r>
    </w:p>
    <w:p w:rsidR="002E4FBB" w:rsidRDefault="002E4FBB" w:rsidP="002E4FBB">
      <w:pPr>
        <w:spacing w:after="16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2E4FBB" w:rsidRDefault="002E4FBB" w:rsidP="002E4FBB">
      <w:pPr>
        <w:spacing w:after="160" w:line="240" w:lineRule="auto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Доведение учетной стоимости товаров и готовой продукции до справедливой стоимости на дату перехода на ФСБУ 5/2019 оформляется записями:</w:t>
      </w:r>
    </w:p>
    <w:p w:rsidR="002E4FBB" w:rsidRDefault="002E4FBB" w:rsidP="002E4FBB">
      <w:pPr>
        <w:pStyle w:val="a6"/>
        <w:numPr>
          <w:ilvl w:val="0"/>
          <w:numId w:val="7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41, 43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Кт 84, </w:t>
      </w:r>
      <w:r>
        <w:rPr>
          <w:rFonts w:ascii="Times New Roman" w:hAnsi="Times New Roman"/>
          <w:sz w:val="28"/>
          <w:szCs w:val="28"/>
        </w:rPr>
        <w:tab/>
        <w:t>Дт 84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41,43;</w:t>
      </w:r>
    </w:p>
    <w:p w:rsidR="002E4FBB" w:rsidRDefault="002E4FBB" w:rsidP="002E4FBB">
      <w:pPr>
        <w:pStyle w:val="a6"/>
        <w:numPr>
          <w:ilvl w:val="0"/>
          <w:numId w:val="7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41, 43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91.1</w:t>
      </w:r>
    </w:p>
    <w:p w:rsidR="002E4FBB" w:rsidRDefault="002E4FBB" w:rsidP="002E4FBB">
      <w:pPr>
        <w:pStyle w:val="a6"/>
        <w:numPr>
          <w:ilvl w:val="0"/>
          <w:numId w:val="7"/>
        </w:numPr>
        <w:spacing w:after="16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 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Кт 91.1</w:t>
      </w:r>
    </w:p>
    <w:p w:rsidR="002E4FBB" w:rsidRDefault="002E4FBB" w:rsidP="002E4FBB">
      <w:pPr>
        <w:pStyle w:val="a6"/>
        <w:spacing w:after="16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4FBB" w:rsidRDefault="002E4FBB" w:rsidP="002E4FBB">
      <w:pPr>
        <w:spacing w:after="16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 Запасы могут быть списаны в определенный момент времени:</w:t>
      </w:r>
    </w:p>
    <w:p w:rsidR="002E4FBB" w:rsidRDefault="002E4FBB" w:rsidP="002E4FBB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выручки от продажи;</w:t>
      </w:r>
    </w:p>
    <w:p w:rsidR="002E4FBB" w:rsidRDefault="002E4FBB" w:rsidP="002E4FBB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иного списания запасов;</w:t>
      </w:r>
    </w:p>
    <w:p w:rsidR="002E4FBB" w:rsidRDefault="002E4FBB" w:rsidP="002E4FBB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перспективы экономических выгод от дальнейшего использования;</w:t>
      </w:r>
    </w:p>
    <w:p w:rsidR="002E4FBB" w:rsidRDefault="002E4FBB" w:rsidP="002E4FBB">
      <w:pPr>
        <w:pStyle w:val="a6"/>
        <w:numPr>
          <w:ilvl w:val="0"/>
          <w:numId w:val="8"/>
        </w:num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невозможность использования в уставной деятельности — для некоммерческих организаций;</w:t>
      </w:r>
    </w:p>
    <w:p w:rsidR="002E4FBB" w:rsidRDefault="002E4FBB" w:rsidP="002E4FBB">
      <w:pPr>
        <w:pStyle w:val="a6"/>
        <w:numPr>
          <w:ilvl w:val="0"/>
          <w:numId w:val="8"/>
        </w:numPr>
        <w:spacing w:after="0"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любой из вышеперечисленных.</w:t>
      </w:r>
    </w:p>
    <w:p w:rsidR="002E4FBB" w:rsidRDefault="002E4FBB" w:rsidP="002E4FB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 Оборотно-сальдовые ведомости по счету 52 «валютный счет» ведутся в:</w:t>
      </w:r>
    </w:p>
    <w:p w:rsidR="002E4FBB" w:rsidRDefault="002E4FBB" w:rsidP="002E4FBB">
      <w:pPr>
        <w:pStyle w:val="a6"/>
        <w:numPr>
          <w:ilvl w:val="0"/>
          <w:numId w:val="9"/>
        </w:numPr>
        <w:spacing w:after="16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Валюте</w:t>
      </w:r>
    </w:p>
    <w:p w:rsidR="002E4FBB" w:rsidRDefault="002E4FBB" w:rsidP="002E4FBB">
      <w:pPr>
        <w:pStyle w:val="a6"/>
        <w:numPr>
          <w:ilvl w:val="0"/>
          <w:numId w:val="9"/>
        </w:numPr>
        <w:spacing w:after="16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Российских рублях</w:t>
      </w:r>
    </w:p>
    <w:p w:rsidR="002E4FBB" w:rsidRDefault="002E4FBB" w:rsidP="002E4FBB">
      <w:pPr>
        <w:pStyle w:val="a6"/>
        <w:numPr>
          <w:ilvl w:val="0"/>
          <w:numId w:val="9"/>
        </w:numPr>
        <w:spacing w:after="16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Валюте и российских рублях</w:t>
      </w:r>
    </w:p>
    <w:p w:rsidR="005E33F6" w:rsidRDefault="005E33F6"/>
    <w:sectPr w:rsidR="005E33F6" w:rsidSect="0041127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C56" w:rsidRDefault="00970C56">
      <w:pPr>
        <w:spacing w:after="0" w:line="240" w:lineRule="auto"/>
      </w:pPr>
      <w:r>
        <w:separator/>
      </w:r>
    </w:p>
  </w:endnote>
  <w:endnote w:type="continuationSeparator" w:id="0">
    <w:p w:rsidR="00970C56" w:rsidRDefault="0097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279" w:rsidRDefault="001272BC" w:rsidP="004112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279" w:rsidRDefault="00970C56" w:rsidP="004112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279" w:rsidRPr="006A068C" w:rsidRDefault="001272BC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8F5E59" w:rsidRPr="008F5E59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C56" w:rsidRDefault="00970C56">
      <w:pPr>
        <w:spacing w:after="0" w:line="240" w:lineRule="auto"/>
      </w:pPr>
      <w:r>
        <w:separator/>
      </w:r>
    </w:p>
  </w:footnote>
  <w:footnote w:type="continuationSeparator" w:id="0">
    <w:p w:rsidR="00970C56" w:rsidRDefault="00970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473"/>
    <w:multiLevelType w:val="hybridMultilevel"/>
    <w:tmpl w:val="3F02B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E531DD"/>
    <w:multiLevelType w:val="multilevel"/>
    <w:tmpl w:val="9086C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6A3E8A"/>
    <w:multiLevelType w:val="hybridMultilevel"/>
    <w:tmpl w:val="EBB4F26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F2C048D"/>
    <w:multiLevelType w:val="hybridMultilevel"/>
    <w:tmpl w:val="83FE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126"/>
    <w:multiLevelType w:val="hybridMultilevel"/>
    <w:tmpl w:val="FD8223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F4B19FA"/>
    <w:multiLevelType w:val="hybridMultilevel"/>
    <w:tmpl w:val="6C3E0B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E6481A"/>
    <w:multiLevelType w:val="hybridMultilevel"/>
    <w:tmpl w:val="99524C3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CE92BF5"/>
    <w:multiLevelType w:val="hybridMultilevel"/>
    <w:tmpl w:val="FEDAAD3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bullet"/>
        <w:lvlText w:val=""/>
        <w:lvlJc w:val="left"/>
        <w:pPr>
          <w:ind w:left="284" w:hanging="114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44"/>
    <w:rsid w:val="001272BC"/>
    <w:rsid w:val="002E4FBB"/>
    <w:rsid w:val="00420010"/>
    <w:rsid w:val="005E33F6"/>
    <w:rsid w:val="008F4C96"/>
    <w:rsid w:val="008F5E59"/>
    <w:rsid w:val="0095047C"/>
    <w:rsid w:val="00970C56"/>
    <w:rsid w:val="00A80444"/>
    <w:rsid w:val="00B23ADC"/>
    <w:rsid w:val="00BE7F04"/>
    <w:rsid w:val="00D21472"/>
    <w:rsid w:val="00E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9064"/>
  <w15:docId w15:val="{0CDFD5A6-1C0D-4D7D-9B8E-2672DC00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04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rsid w:val="00A8044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A80444"/>
  </w:style>
  <w:style w:type="paragraph" w:styleId="a6">
    <w:name w:val="List Paragraph"/>
    <w:basedOn w:val="a"/>
    <w:link w:val="a7"/>
    <w:uiPriority w:val="34"/>
    <w:qFormat/>
    <w:rsid w:val="00A80444"/>
    <w:pPr>
      <w:ind w:left="708"/>
    </w:pPr>
  </w:style>
  <w:style w:type="character" w:customStyle="1" w:styleId="a7">
    <w:name w:val="Абзац списка Знак"/>
    <w:link w:val="a6"/>
    <w:uiPriority w:val="34"/>
    <w:rsid w:val="00A8044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Авилова Наталия Дмитриевна</cp:lastModifiedBy>
  <cp:revision>7</cp:revision>
  <dcterms:created xsi:type="dcterms:W3CDTF">2022-02-20T16:27:00Z</dcterms:created>
  <dcterms:modified xsi:type="dcterms:W3CDTF">2026-04-06T12:13:00Z</dcterms:modified>
</cp:coreProperties>
</file>