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6" w:rsidRDefault="000D0BD6" w:rsidP="000D0BD6">
      <w:pPr>
        <w:pStyle w:val="10"/>
        <w:spacing w:line="276" w:lineRule="auto"/>
        <w:jc w:val="center"/>
        <w:rPr>
          <w:b/>
          <w:caps w:val="0"/>
          <w:noProof/>
          <w:lang w:val="ru-RU"/>
        </w:rPr>
      </w:pPr>
    </w:p>
    <w:p w:rsidR="000D0BD6" w:rsidRPr="000D0BD6" w:rsidRDefault="000D0BD6" w:rsidP="000D0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:rsidR="000D0BD6" w:rsidRPr="000D0BD6" w:rsidRDefault="000D0BD6" w:rsidP="000D0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промежуточной аттестации по дисциплине (модулю)</w:t>
      </w:r>
    </w:p>
    <w:p w:rsidR="000D0BD6" w:rsidRDefault="000D0BD6" w:rsidP="000D0BD6">
      <w:pPr>
        <w:pStyle w:val="10"/>
        <w:spacing w:line="276" w:lineRule="auto"/>
        <w:jc w:val="center"/>
        <w:rPr>
          <w:b/>
          <w:caps w:val="0"/>
          <w:noProof/>
          <w:lang w:val="ru-RU"/>
        </w:rPr>
      </w:pPr>
    </w:p>
    <w:p w:rsidR="000D0BD6" w:rsidRPr="0050083B" w:rsidRDefault="000D0BD6" w:rsidP="000D0BD6">
      <w:pPr>
        <w:pStyle w:val="10"/>
        <w:spacing w:line="276" w:lineRule="auto"/>
        <w:jc w:val="center"/>
        <w:rPr>
          <w:b/>
          <w:noProof/>
          <w:lang w:val="ru-RU"/>
        </w:rPr>
      </w:pPr>
      <w:r>
        <w:rPr>
          <w:b/>
          <w:caps w:val="0"/>
          <w:noProof/>
          <w:lang w:val="ru-RU"/>
        </w:rPr>
        <w:t>Черчение деталей</w:t>
      </w:r>
      <w:r w:rsidR="00CA09E8">
        <w:rPr>
          <w:b/>
          <w:caps w:val="0"/>
          <w:noProof/>
          <w:lang w:val="ru-RU"/>
        </w:rPr>
        <w:t>, узлов</w:t>
      </w:r>
      <w:r>
        <w:rPr>
          <w:b/>
          <w:caps w:val="0"/>
          <w:noProof/>
          <w:lang w:val="ru-RU"/>
        </w:rPr>
        <w:t xml:space="preserve"> и систем энергокомплексов</w:t>
      </w:r>
    </w:p>
    <w:tbl>
      <w:tblPr>
        <w:tblStyle w:val="a3"/>
        <w:tblW w:w="4944" w:type="pct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A09E8" w:rsidRPr="00CA09E8" w:rsidTr="00CA09E8">
        <w:trPr>
          <w:trHeight w:val="283"/>
          <w:jc w:val="center"/>
        </w:trPr>
        <w:tc>
          <w:tcPr>
            <w:tcW w:w="5000" w:type="pct"/>
            <w:shd w:val="clear" w:color="auto" w:fill="auto"/>
            <w:hideMark/>
          </w:tcPr>
          <w:p w:rsidR="00CA09E8" w:rsidRPr="00CA09E8" w:rsidRDefault="00CA09E8" w:rsidP="00714E66">
            <w:pPr>
              <w:spacing w:line="276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CA09E8" w:rsidRPr="00CA09E8" w:rsidRDefault="00CA09E8" w:rsidP="00CA09E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A09E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Примерный перечень</w:t>
            </w:r>
            <w:r w:rsidRPr="00CA09E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вопросов: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Обозначение плоскостей проекций. Обозначение осей проекций. Эпюр Монжа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Методы проецирования. Плоскость проекций. Центр проецирования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Центральное проецирование и его свойства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Параллельное проецирование: косоугольное и прямоугольное проецирование, свойства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Проецирование на три взаимно перпендикулярные плоскости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Прямая линия. Прямые общего и частного положения. 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Горизонтальная прямая, фронтальная прямая, профильная прямая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Проецирующие прямые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Следы прямой линии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Взаимное положение точки и прямой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Взаимное положение двух прямых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Задание плоскости на чертеже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Следы плоскости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Плоскости общего и частного положения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Проецирующие плоскости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Плоскости уровня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Взаимное положение прямой и плоскости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Взаимное положение двух плоскостей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Способы задания поверхности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Задание поверхности на чертеже. Контурная линия поверхности. Очерк поверхности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Типы поверхностей. Линейчатые поверхности.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Типы поверхностей. Поверхности вращения.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Типы поверхностей. Винтовые вращения.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Торовые</w:t>
            </w:r>
            <w:proofErr w:type="spellEnd"/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поверхности. Виды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торовых</w:t>
            </w:r>
            <w:proofErr w:type="spellEnd"/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поверхностей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Поверхности вращения с образующей кривой второго порядка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Поверхности вращения с прямолинейной образующей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Пересечение поверхности с плоскостью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Что такое ЕСКД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Виды изделий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Виды конструкторских документов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Чертежные форматы. Правила расположения информации на чертежах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Нанесение размеров на чертеже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Размерные и выносные линии на чертеже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Основные виды детали на чертежи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Дополнительные виды. Местные виды.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Разрезы. Виды разрезов. 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Сечение. Классификация сечений.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Аксонометрия. Виды аксонометрических проекций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Аксонометрия. Коэффициент искажения по осям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Аксонометрия. Изометрия,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диметрия</w:t>
            </w:r>
            <w:proofErr w:type="spellEnd"/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Прямоугольная изометрия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Прямоугольная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диметрия</w:t>
            </w:r>
            <w:proofErr w:type="spellEnd"/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Косоугольная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диметрия</w:t>
            </w:r>
            <w:proofErr w:type="spellEnd"/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Соединения деталей. Виды неразъемных соединений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Сварное соединение. Виды сварных соединений. Сварные швы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Соединение пайкой. Обозначение на чертеже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Заклепочное соединение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>Клеевое соединение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Виды разъемных соединений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Резьба. Основные определения, параметры резьбы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Получение резьбы. Инструмент для получения резьбы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Технологические элементы резьбы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Классификация резьбы. Цилиндрическая резьба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Классификация резьбы. Коническая резьбы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Классификация резьбы. Упорная резьба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Классификация резьбы по форме профиля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Классификация резьбы. Правая, левая резьба. Внешняя, внутренняя резьба. Обозначение на чертеже.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Болтовое соединение.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Винтовое соединение.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Соединение шпилькой.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Трубное соединение.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Шпоночное соединение.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</w:t>
            </w:r>
            <w:proofErr w:type="spellStart"/>
            <w:r w:rsidRPr="00CA09E8">
              <w:rPr>
                <w:rFonts w:ascii="Times New Roman" w:eastAsia="Calibri" w:hAnsi="Times New Roman"/>
                <w:sz w:val="28"/>
                <w:szCs w:val="28"/>
              </w:rPr>
              <w:t>Шлитцевое</w:t>
            </w:r>
            <w:proofErr w:type="spellEnd"/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соединение.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Соединение шплинтом.</w:t>
            </w:r>
          </w:p>
          <w:p w:rsidR="00CA09E8" w:rsidRPr="00CA09E8" w:rsidRDefault="00CA09E8" w:rsidP="00CA09E8">
            <w:pPr>
              <w:pStyle w:val="11"/>
              <w:numPr>
                <w:ilvl w:val="0"/>
                <w:numId w:val="2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CA09E8">
              <w:rPr>
                <w:rFonts w:ascii="Times New Roman" w:eastAsia="Calibri" w:hAnsi="Times New Roman"/>
                <w:sz w:val="28"/>
                <w:szCs w:val="28"/>
              </w:rPr>
              <w:t xml:space="preserve"> Разъемные соединения. Соединение штифтом.</w:t>
            </w:r>
          </w:p>
          <w:p w:rsidR="00CA09E8" w:rsidRPr="00CA09E8" w:rsidRDefault="00CA09E8" w:rsidP="00714E66">
            <w:pPr>
              <w:spacing w:line="276" w:lineRule="auto"/>
              <w:ind w:right="-108" w:firstLine="61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</w:tbl>
    <w:p w:rsidR="000D0BD6" w:rsidRDefault="000D0BD6" w:rsidP="000D0BD6">
      <w:pPr>
        <w:spacing w:line="276" w:lineRule="auto"/>
        <w:ind w:right="-108"/>
        <w:rPr>
          <w:rFonts w:ascii="Times New Roman" w:hAnsi="Times New Roman" w:cs="Times New Roman"/>
          <w:bCs/>
          <w:noProof/>
          <w:sz w:val="28"/>
          <w:szCs w:val="28"/>
        </w:rPr>
      </w:pPr>
    </w:p>
    <w:sectPr w:rsidR="000D0BD6" w:rsidSect="00CA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98B"/>
    <w:multiLevelType w:val="multilevel"/>
    <w:tmpl w:val="76566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1F1022F"/>
    <w:multiLevelType w:val="hybridMultilevel"/>
    <w:tmpl w:val="00341FBE"/>
    <w:lvl w:ilvl="0" w:tplc="A2F4098E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D6"/>
    <w:rsid w:val="000D0BD6"/>
    <w:rsid w:val="00AE4BD8"/>
    <w:rsid w:val="00C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BD6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0D0BD6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0D0BD6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styleId="a5">
    <w:name w:val="line number"/>
    <w:basedOn w:val="a0"/>
    <w:uiPriority w:val="99"/>
    <w:semiHidden/>
    <w:unhideWhenUsed/>
    <w:rsid w:val="00CA09E8"/>
  </w:style>
  <w:style w:type="paragraph" w:customStyle="1" w:styleId="11">
    <w:name w:val="Абзац списка1"/>
    <w:basedOn w:val="a"/>
    <w:rsid w:val="00CA09E8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BD6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0D0BD6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0D0BD6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styleId="a5">
    <w:name w:val="line number"/>
    <w:basedOn w:val="a0"/>
    <w:uiPriority w:val="99"/>
    <w:semiHidden/>
    <w:unhideWhenUsed/>
    <w:rsid w:val="00CA09E8"/>
  </w:style>
  <w:style w:type="paragraph" w:customStyle="1" w:styleId="11">
    <w:name w:val="Абзац списка1"/>
    <w:basedOn w:val="a"/>
    <w:rsid w:val="00CA09E8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Воронова Лариса Анатольевна</cp:lastModifiedBy>
  <cp:revision>2</cp:revision>
  <dcterms:created xsi:type="dcterms:W3CDTF">2024-05-22T14:36:00Z</dcterms:created>
  <dcterms:modified xsi:type="dcterms:W3CDTF">2025-01-14T15:01:00Z</dcterms:modified>
</cp:coreProperties>
</file>