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19AB775A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bookmarkStart w:id="1" w:name="_Hlk95047248"/>
      <w:r w:rsidR="00982578">
        <w:rPr>
          <w:b/>
          <w:sz w:val="28"/>
          <w:szCs w:val="28"/>
        </w:rPr>
        <w:t>Государственно-частное партнерство</w:t>
      </w:r>
      <w:bookmarkEnd w:id="1"/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38682F3D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69777382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Бюджетная эффективность государственно-частных проектов.</w:t>
      </w:r>
    </w:p>
    <w:p w14:paraId="269725BC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Виды государственно-частного партнерства. </w:t>
      </w:r>
    </w:p>
    <w:p w14:paraId="0F8F592B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Выбор варианта инвестиционного проекта, реализуемого на основе ГЧП. </w:t>
      </w:r>
    </w:p>
    <w:p w14:paraId="095C7F1F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Законодательная база ГЧП.</w:t>
      </w:r>
    </w:p>
    <w:p w14:paraId="3C857A17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Инвестиционные проекты государственно-частного партнерства на железнодорожном транспорте.</w:t>
      </w:r>
    </w:p>
    <w:p w14:paraId="67A9962D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Использование государственно-частного партнерства в России и за рубежом.</w:t>
      </w:r>
    </w:p>
    <w:p w14:paraId="6FF323AC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Сферы применения ГЧП в России.</w:t>
      </w:r>
    </w:p>
    <w:p w14:paraId="5DAC69D4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Сферы применения ГЧП за рубежом.</w:t>
      </w:r>
    </w:p>
    <w:p w14:paraId="3A64DD08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Исторический аспект развития ГЧП.</w:t>
      </w:r>
    </w:p>
    <w:p w14:paraId="4A804EC7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ГЧП в России в 18 – начале 19 века.</w:t>
      </w:r>
    </w:p>
    <w:p w14:paraId="375AFE16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ГЧП в России в 19 – начале 20 века.</w:t>
      </w:r>
    </w:p>
    <w:p w14:paraId="38D26B02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ГЧП в России в 1917-1937 гг.</w:t>
      </w:r>
    </w:p>
    <w:p w14:paraId="7B5FFD78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ГЧП в России в 1938-1991 гг.</w:t>
      </w:r>
    </w:p>
    <w:p w14:paraId="2C8BEB51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ГЧП в России в 1992-2005 гг.</w:t>
      </w:r>
    </w:p>
    <w:p w14:paraId="0ECF4CAF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ГЧП в России в 2005-2015 гг.</w:t>
      </w:r>
    </w:p>
    <w:p w14:paraId="41BD8946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ГЧП в России в 2015г – </w:t>
      </w:r>
      <w:proofErr w:type="spellStart"/>
      <w:r w:rsidRPr="00982578">
        <w:rPr>
          <w:bCs/>
          <w:sz w:val="28"/>
          <w:szCs w:val="28"/>
        </w:rPr>
        <w:t>н.в</w:t>
      </w:r>
      <w:proofErr w:type="spellEnd"/>
      <w:r w:rsidRPr="00982578">
        <w:rPr>
          <w:bCs/>
          <w:sz w:val="28"/>
          <w:szCs w:val="28"/>
        </w:rPr>
        <w:t>.</w:t>
      </w:r>
    </w:p>
    <w:p w14:paraId="1F482902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Центр развития государственно-частного партнерства в России</w:t>
      </w:r>
    </w:p>
    <w:p w14:paraId="2E59FEC1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Коммерческая эффективность государственно-частных проектов.</w:t>
      </w:r>
    </w:p>
    <w:p w14:paraId="4D8F0176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Коммерческая эффективность концессионеров.</w:t>
      </w:r>
    </w:p>
    <w:p w14:paraId="0237F36C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Концессионные отношения </w:t>
      </w:r>
    </w:p>
    <w:p w14:paraId="37822AC3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Концессионные отношения. </w:t>
      </w:r>
      <w:proofErr w:type="spellStart"/>
      <w:r w:rsidRPr="00982578">
        <w:rPr>
          <w:bCs/>
          <w:sz w:val="28"/>
          <w:szCs w:val="28"/>
        </w:rPr>
        <w:t>Концедент</w:t>
      </w:r>
      <w:proofErr w:type="spellEnd"/>
      <w:r w:rsidRPr="00982578">
        <w:rPr>
          <w:bCs/>
          <w:sz w:val="28"/>
          <w:szCs w:val="28"/>
        </w:rPr>
        <w:t>.</w:t>
      </w:r>
    </w:p>
    <w:p w14:paraId="17AF3AFC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Концессионные отношения. Концессионер.</w:t>
      </w:r>
    </w:p>
    <w:p w14:paraId="38768C3F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Модели ГЧП в транспортном строительстве.</w:t>
      </w:r>
    </w:p>
    <w:p w14:paraId="36EF174B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Модели ГЧП.</w:t>
      </w:r>
    </w:p>
    <w:p w14:paraId="0D5D59E3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Концессия</w:t>
      </w:r>
    </w:p>
    <w:p w14:paraId="514E1170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Соглашение о разделе продукции</w:t>
      </w:r>
    </w:p>
    <w:p w14:paraId="3AFFC377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Государственно-частные предприятия</w:t>
      </w:r>
    </w:p>
    <w:p w14:paraId="00FA748A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Контракты жизненного цикла</w:t>
      </w:r>
    </w:p>
    <w:p w14:paraId="2355907A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Операторские контракты</w:t>
      </w:r>
    </w:p>
    <w:p w14:paraId="24945098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  <w:lang w:val="en-US"/>
        </w:rPr>
        <w:t>BOT, BOOT, BTO</w:t>
      </w:r>
    </w:p>
    <w:p w14:paraId="68E4A601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  <w:lang w:val="en-US"/>
        </w:rPr>
        <w:t>BOMT, DBOOT, DBFO</w:t>
      </w:r>
    </w:p>
    <w:p w14:paraId="26C16133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lastRenderedPageBreak/>
        <w:t>Налоговые поступления в государственные, региональные и местные бюджеты при реализации проектов на основе ГЧП.</w:t>
      </w:r>
    </w:p>
    <w:p w14:paraId="63BAA1D0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Общественная эффективность инвестиционных проектов по развитию транспортной инфраструктуры на принципах ГЧП.</w:t>
      </w:r>
    </w:p>
    <w:p w14:paraId="09DEA2ED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Оптимизация соотношения объемов финансирования инвесторами. </w:t>
      </w:r>
    </w:p>
    <w:p w14:paraId="3D1D02F6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Показатели и критерии оценки эффективности ГЧП-проектов.</w:t>
      </w:r>
    </w:p>
    <w:p w14:paraId="1D077F4C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Понятие государственно-частного партнерства.</w:t>
      </w:r>
    </w:p>
    <w:p w14:paraId="43AB379D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Правовые основы государственно-частного партнерства.</w:t>
      </w:r>
    </w:p>
    <w:p w14:paraId="1A8153EF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Примеры строительства и эксплуатации железных и автомобильных дорог за рубежом и в России.</w:t>
      </w:r>
    </w:p>
    <w:p w14:paraId="6E7DBFC1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Принципы и механизмы реализации партнерских отношений государства и бизнес-структур.</w:t>
      </w:r>
    </w:p>
    <w:p w14:paraId="69323756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Проекты государственно-частного партнерства на железнодорожном транспорте.</w:t>
      </w:r>
    </w:p>
    <w:p w14:paraId="4681D18F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Проекты государственно-частного партнерства.</w:t>
      </w:r>
    </w:p>
    <w:p w14:paraId="7D512354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Регулирование партнерских отношений. </w:t>
      </w:r>
    </w:p>
    <w:p w14:paraId="2CC53930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Система взимания платы за проезд.</w:t>
      </w:r>
    </w:p>
    <w:p w14:paraId="252FC107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Строительство и эксплуатация автомобильных дорог на основах ГЧП. </w:t>
      </w:r>
    </w:p>
    <w:p w14:paraId="340CF42C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Учет затрат на ремонт объектов при окончании срока концессии. </w:t>
      </w:r>
    </w:p>
    <w:p w14:paraId="70001286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Риски при реализации ГЧП-проектов.</w:t>
      </w:r>
    </w:p>
    <w:p w14:paraId="4DD39704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Учет неопределенности исходной информации и риска при реализации проектов.</w:t>
      </w:r>
    </w:p>
    <w:p w14:paraId="49554381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Финансирование ГЧП-проектов.</w:t>
      </w:r>
    </w:p>
    <w:p w14:paraId="670B778A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Экономическая оценка ГЧП-проектов.</w:t>
      </w:r>
    </w:p>
    <w:p w14:paraId="3DF5D481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Нормативно-правовая база ГЧП.</w:t>
      </w:r>
    </w:p>
    <w:p w14:paraId="1AE63DDF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Реализация ГЧП-проектов в рамках ФЗ №224.</w:t>
      </w:r>
    </w:p>
    <w:p w14:paraId="0DE041CC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Реализация ГЧП-проектов в рамках ФЗ №115.</w:t>
      </w:r>
    </w:p>
    <w:p w14:paraId="6F48E1E8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Реализация ГЧП-проектов при частной инициативе.</w:t>
      </w:r>
    </w:p>
    <w:p w14:paraId="5A0F8754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Сравнение особенностей реализации ГЧП проектов на основе ФЗ №224 и ФЗ №115.</w:t>
      </w:r>
    </w:p>
    <w:p w14:paraId="20C779B5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Этапы реализации проекта ГЧП/МЧП (ФЗ 224).</w:t>
      </w:r>
    </w:p>
    <w:p w14:paraId="1F94E694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Этапы организации и проведения конкурса на заключение СГЧП (СМЧП) (ФЗ 224).</w:t>
      </w:r>
    </w:p>
    <w:p w14:paraId="2E5E7CBB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Порядок заключения концессионного соглашения (ФЗ 115).</w:t>
      </w:r>
    </w:p>
    <w:p w14:paraId="79E3D7EA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Источники финансирования ГЧП-проектов.</w:t>
      </w:r>
    </w:p>
    <w:p w14:paraId="34DF1EE0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Расчет показателей экономической эффективности ГЧП-проектов.</w:t>
      </w:r>
    </w:p>
    <w:p w14:paraId="6EB03C62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 xml:space="preserve">ГЧП в </w:t>
      </w:r>
      <w:r w:rsidRPr="00982578">
        <w:rPr>
          <w:bCs/>
          <w:sz w:val="28"/>
          <w:szCs w:val="28"/>
          <w:lang w:val="en-US"/>
        </w:rPr>
        <w:t>IT-</w:t>
      </w:r>
      <w:r w:rsidRPr="00982578">
        <w:rPr>
          <w:bCs/>
          <w:sz w:val="28"/>
          <w:szCs w:val="28"/>
        </w:rPr>
        <w:t>сфере.</w:t>
      </w:r>
    </w:p>
    <w:p w14:paraId="7A09609A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Частная концессионная инициатива.</w:t>
      </w:r>
    </w:p>
    <w:p w14:paraId="54CBEE74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Повышение привлекательности ГЧП-проектов для частного бизнеса.</w:t>
      </w:r>
    </w:p>
    <w:p w14:paraId="2E87B162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Роль частного бизнеса в ГЧП-проектах.</w:t>
      </w:r>
    </w:p>
    <w:p w14:paraId="26ACBCE4" w14:textId="77777777" w:rsidR="00982578" w:rsidRPr="00982578" w:rsidRDefault="00982578" w:rsidP="00982578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Роль государства в ГЧП-проектах.</w:t>
      </w:r>
    </w:p>
    <w:p w14:paraId="583E0324" w14:textId="3689858A" w:rsidR="004C30B1" w:rsidRPr="00982578" w:rsidRDefault="00982578" w:rsidP="00762222">
      <w:pPr>
        <w:pStyle w:val="a8"/>
        <w:numPr>
          <w:ilvl w:val="0"/>
          <w:numId w:val="17"/>
        </w:numPr>
        <w:contextualSpacing w:val="0"/>
        <w:rPr>
          <w:bCs/>
          <w:sz w:val="28"/>
          <w:szCs w:val="28"/>
        </w:rPr>
      </w:pPr>
      <w:r w:rsidRPr="00982578">
        <w:rPr>
          <w:bCs/>
          <w:sz w:val="28"/>
          <w:szCs w:val="28"/>
        </w:rPr>
        <w:t>Балансировка интересов государства и частного бизнеса.</w:t>
      </w:r>
    </w:p>
    <w:sectPr w:rsidR="004C30B1" w:rsidRPr="00982578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1C698" w14:textId="77777777" w:rsidR="000E2718" w:rsidRDefault="000E2718">
      <w:r>
        <w:separator/>
      </w:r>
    </w:p>
  </w:endnote>
  <w:endnote w:type="continuationSeparator" w:id="0">
    <w:p w14:paraId="344E30C8" w14:textId="77777777" w:rsidR="000E2718" w:rsidRDefault="000E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4C543" w14:textId="77777777" w:rsidR="00801982" w:rsidRDefault="000E2718">
    <w:pPr>
      <w:pStyle w:val="ab"/>
      <w:jc w:val="right"/>
    </w:pPr>
  </w:p>
  <w:p w14:paraId="54B05BEE" w14:textId="77777777" w:rsidR="00801982" w:rsidRDefault="000E27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54B41" w14:textId="77777777" w:rsidR="000E2718" w:rsidRDefault="000E2718">
      <w:r>
        <w:separator/>
      </w:r>
    </w:p>
  </w:footnote>
  <w:footnote w:type="continuationSeparator" w:id="0">
    <w:p w14:paraId="324EEEEB" w14:textId="77777777" w:rsidR="000E2718" w:rsidRDefault="000E2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E7C90" w14:textId="0BCD58B7" w:rsidR="00801982" w:rsidRPr="00FA3E76" w:rsidRDefault="00982578" w:rsidP="00FA3E76">
    <w:pPr>
      <w:pStyle w:val="a9"/>
      <w:rPr>
        <w:sz w:val="16"/>
        <w:szCs w:val="16"/>
      </w:rPr>
    </w:pPr>
    <w:r w:rsidRPr="00982578">
      <w:rPr>
        <w:sz w:val="16"/>
        <w:szCs w:val="16"/>
      </w:rPr>
      <w:t>Государственно-частное партнерство</w:t>
    </w:r>
    <w:r w:rsidR="00FA3E76" w:rsidRPr="00FA3E76">
      <w:rPr>
        <w:sz w:val="16"/>
        <w:szCs w:val="16"/>
      </w:rPr>
      <w:t xml:space="preserve"> </w:t>
    </w:r>
  </w:p>
  <w:p w14:paraId="572D58BB" w14:textId="77777777" w:rsidR="00801982" w:rsidRDefault="000E271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DE501" w14:textId="6149D92E" w:rsidR="0005390B" w:rsidRPr="0005390B" w:rsidRDefault="00982578">
    <w:pPr>
      <w:pStyle w:val="a9"/>
      <w:rPr>
        <w:sz w:val="16"/>
        <w:szCs w:val="16"/>
      </w:rPr>
    </w:pPr>
    <w:r w:rsidRPr="00982578">
      <w:rPr>
        <w:sz w:val="16"/>
        <w:szCs w:val="16"/>
      </w:rPr>
      <w:t>Государственно-частное партнерство</w:t>
    </w:r>
    <w:r w:rsidR="0005390B" w:rsidRPr="0005390B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77270"/>
    <w:multiLevelType w:val="hybridMultilevel"/>
    <w:tmpl w:val="F842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13"/>
  </w:num>
  <w:num w:numId="12">
    <w:abstractNumId w:val="4"/>
  </w:num>
  <w:num w:numId="13">
    <w:abstractNumId w:val="9"/>
  </w:num>
  <w:num w:numId="14">
    <w:abstractNumId w:val="0"/>
  </w:num>
  <w:num w:numId="15">
    <w:abstractNumId w:val="14"/>
  </w:num>
  <w:num w:numId="16">
    <w:abstractNumId w:val="1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966AF"/>
    <w:rsid w:val="000E2718"/>
    <w:rsid w:val="001265BC"/>
    <w:rsid w:val="00246E27"/>
    <w:rsid w:val="00463BBA"/>
    <w:rsid w:val="004A3DC4"/>
    <w:rsid w:val="004C30B1"/>
    <w:rsid w:val="00537F3C"/>
    <w:rsid w:val="006107FC"/>
    <w:rsid w:val="006B3CA5"/>
    <w:rsid w:val="00700918"/>
    <w:rsid w:val="00762222"/>
    <w:rsid w:val="007F05B2"/>
    <w:rsid w:val="00814349"/>
    <w:rsid w:val="0082162F"/>
    <w:rsid w:val="008811E0"/>
    <w:rsid w:val="00916F9F"/>
    <w:rsid w:val="00952088"/>
    <w:rsid w:val="009652A1"/>
    <w:rsid w:val="00982578"/>
    <w:rsid w:val="00B1683E"/>
    <w:rsid w:val="00B508C9"/>
    <w:rsid w:val="00BA4F57"/>
    <w:rsid w:val="00BD28B7"/>
    <w:rsid w:val="00C050F8"/>
    <w:rsid w:val="00C47D7C"/>
    <w:rsid w:val="00D0446A"/>
    <w:rsid w:val="00D417B2"/>
    <w:rsid w:val="00DA7F7A"/>
    <w:rsid w:val="00DF063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Резник София Сергеевна</cp:lastModifiedBy>
  <cp:revision>2</cp:revision>
  <dcterms:created xsi:type="dcterms:W3CDTF">2023-05-15T10:07:00Z</dcterms:created>
  <dcterms:modified xsi:type="dcterms:W3CDTF">2023-05-15T10:07:00Z</dcterms:modified>
</cp:coreProperties>
</file>