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11BEC" w14:textId="77777777" w:rsidR="00BC7B1F" w:rsidRPr="001D0098" w:rsidRDefault="00BC7B1F" w:rsidP="00BC7B1F">
      <w:pPr>
        <w:pStyle w:val="a3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5288F590" w14:textId="77777777" w:rsidR="00BC7B1F" w:rsidRPr="001D0098" w:rsidRDefault="00BC7B1F" w:rsidP="00BC7B1F">
      <w:pPr>
        <w:pStyle w:val="a3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6B41846E" w14:textId="77777777" w:rsidR="00BC7B1F" w:rsidRPr="001D0098" w:rsidRDefault="00BC7B1F" w:rsidP="00BC7B1F">
      <w:pPr>
        <w:pStyle w:val="a3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Налоговое планирование</w:t>
      </w:r>
      <w:r w:rsidRPr="001D0098">
        <w:rPr>
          <w:b/>
          <w:color w:val="000000"/>
          <w:sz w:val="28"/>
          <w:szCs w:val="28"/>
        </w:rPr>
        <w:t>»</w:t>
      </w:r>
    </w:p>
    <w:p w14:paraId="4B82581C" w14:textId="77777777" w:rsidR="00BC7B1F" w:rsidRPr="001D0098" w:rsidRDefault="00BC7B1F" w:rsidP="00BC7B1F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D0098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>
        <w:rPr>
          <w:color w:val="000000"/>
          <w:sz w:val="28"/>
          <w:szCs w:val="28"/>
        </w:rPr>
        <w:t xml:space="preserve">, </w:t>
      </w:r>
      <w:r w:rsidRPr="005C7699">
        <w:rPr>
          <w:color w:val="000000"/>
          <w:sz w:val="28"/>
          <w:szCs w:val="28"/>
        </w:rPr>
        <w:t>приведенных в экзаменационном билете</w:t>
      </w:r>
      <w:r>
        <w:rPr>
          <w:color w:val="000000"/>
          <w:sz w:val="27"/>
          <w:szCs w:val="27"/>
        </w:rPr>
        <w:t>,</w:t>
      </w:r>
      <w:r w:rsidRPr="001D0098">
        <w:rPr>
          <w:color w:val="000000"/>
          <w:sz w:val="28"/>
          <w:szCs w:val="28"/>
        </w:rPr>
        <w:t xml:space="preserve"> из нижеприведенного списка.</w:t>
      </w:r>
    </w:p>
    <w:p w14:paraId="627B1697" w14:textId="77777777" w:rsidR="00BC7B1F" w:rsidRPr="001D0098" w:rsidRDefault="00BC7B1F" w:rsidP="00BC7B1F">
      <w:pPr>
        <w:pStyle w:val="a3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Примерный перечень вопросов:</w:t>
      </w:r>
    </w:p>
    <w:p w14:paraId="271E98B1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налогов и сборов.</w:t>
      </w:r>
    </w:p>
    <w:p w14:paraId="5BD47F1D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Основные функции налогов.</w:t>
      </w:r>
    </w:p>
    <w:p w14:paraId="021D59F3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Классификация налогов и сборов.</w:t>
      </w:r>
    </w:p>
    <w:p w14:paraId="3B106DA9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Налоговое законодательство РФ.</w:t>
      </w:r>
    </w:p>
    <w:p w14:paraId="004BB096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Отдельные понятия в Налоговом Кодексе РФ (реализация, рыночная цена, взаимозависимые лица, контролируемые сделки).</w:t>
      </w:r>
    </w:p>
    <w:p w14:paraId="72C219D8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Принципы формирования налогов и сборов.</w:t>
      </w:r>
    </w:p>
    <w:p w14:paraId="1B666BE2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Экономические теории налогообложения.</w:t>
      </w:r>
    </w:p>
    <w:p w14:paraId="43457B11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Теоретические основы налоговой системы Российской Федерации.</w:t>
      </w:r>
    </w:p>
    <w:p w14:paraId="5B8F1D55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Этапы налоговой реформы в Российской Федерации.</w:t>
      </w:r>
    </w:p>
    <w:p w14:paraId="1C651DC6" w14:textId="77777777" w:rsidR="00BC7B1F" w:rsidRPr="005708FD" w:rsidRDefault="00BC7B1F" w:rsidP="00BC7B1F">
      <w:pPr>
        <w:numPr>
          <w:ilvl w:val="0"/>
          <w:numId w:val="1"/>
        </w:num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Новые правила трансфертного ценообразования.</w:t>
      </w:r>
    </w:p>
    <w:p w14:paraId="6E33EAE0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Права и обязанности налогоплательщиков и налоговых органов.</w:t>
      </w:r>
    </w:p>
    <w:p w14:paraId="58C68B2F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Анализ налоговых систем зарубежных стран.</w:t>
      </w:r>
    </w:p>
    <w:p w14:paraId="53D674FF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Функции государственных органов, регулирующих вопросы налогообложения.</w:t>
      </w:r>
    </w:p>
    <w:p w14:paraId="65533C31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Порядок проведения налоговых проверок (проведение и оформление результатов налогового контроля). </w:t>
      </w:r>
    </w:p>
    <w:p w14:paraId="453910AC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Ответственность за совершение налоговых правонарушений.</w:t>
      </w:r>
    </w:p>
    <w:p w14:paraId="39416D67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Отдельные виды налоговых правонарушений.</w:t>
      </w:r>
    </w:p>
    <w:p w14:paraId="1E0ED6DF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добавленную стоимость.</w:t>
      </w:r>
    </w:p>
    <w:p w14:paraId="3A55E34E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и сущность налога на добавленную стоимость.</w:t>
      </w:r>
    </w:p>
    <w:p w14:paraId="0BFE0D51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применения налоговых вычетов по НДС.</w:t>
      </w:r>
    </w:p>
    <w:p w14:paraId="2C519812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имущество организаций.</w:t>
      </w:r>
    </w:p>
    <w:p w14:paraId="5143B47E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Роль налога на имущество организаций в формировании доходов бюджета и перспективы имущественного налогообложения.</w:t>
      </w:r>
    </w:p>
    <w:p w14:paraId="2D702A54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транспортного налога.</w:t>
      </w:r>
    </w:p>
    <w:p w14:paraId="4314A937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транспортного налога и этапы его развития.</w:t>
      </w:r>
    </w:p>
    <w:p w14:paraId="0AAC6E83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Плательщики и объект обложения взносами в государственные внебюджетные фонды.</w:t>
      </w:r>
    </w:p>
    <w:p w14:paraId="14184EAA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Социальные внебюджетные фонды и роль взносов во внебюджетные фонды в реализации социальной политики. </w:t>
      </w:r>
    </w:p>
    <w:p w14:paraId="038E96A5" w14:textId="77777777" w:rsidR="00BC7B1F" w:rsidRPr="005708FD" w:rsidRDefault="00BC7B1F" w:rsidP="00BC7B1F">
      <w:pPr>
        <w:numPr>
          <w:ilvl w:val="0"/>
          <w:numId w:val="1"/>
        </w:num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взносов в государственные внебюджетные фонды.</w:t>
      </w:r>
    </w:p>
    <w:p w14:paraId="1035E4FA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Изменения в порядке исчисления страховых взносов в государственные внебюджетные фонды.</w:t>
      </w:r>
    </w:p>
    <w:p w14:paraId="7E9E04A9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Экономическая сущность акцизов.</w:t>
      </w:r>
    </w:p>
    <w:p w14:paraId="0F25D04B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акцизов.</w:t>
      </w:r>
    </w:p>
    <w:p w14:paraId="38B47B54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Налогоплательщики и объект налогообложения налогом на добычу полезных ископаемых.</w:t>
      </w:r>
    </w:p>
    <w:p w14:paraId="7EEC1430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добычу полезных ископаемых.</w:t>
      </w:r>
    </w:p>
    <w:p w14:paraId="41CF6B00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водного налога.</w:t>
      </w:r>
    </w:p>
    <w:p w14:paraId="4D48B8B0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lastRenderedPageBreak/>
        <w:t>Налогоплательщики налога на доходы физических лиц, объект налогообложения и налоговые ставки.</w:t>
      </w:r>
    </w:p>
    <w:p w14:paraId="79E22208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Налоговая база по НДФЛ и особенности определения налоговой базы.</w:t>
      </w:r>
    </w:p>
    <w:p w14:paraId="734094E6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 на доходы физических лиц, его место и роль в налоговой системе и доходах бюджета.</w:t>
      </w:r>
    </w:p>
    <w:p w14:paraId="0F9D2F79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Доходы, не подлежащие налогообложению, и налоговые вычеты по НДФЛ.</w:t>
      </w:r>
    </w:p>
    <w:p w14:paraId="1C32E86F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Роль налога на прибыль организаций в налоговой системе РФ.</w:t>
      </w:r>
    </w:p>
    <w:p w14:paraId="680BBBFE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Налогоплательщики, объект налогообложения и налоговая база по налогу на прибыль организаций.</w:t>
      </w:r>
    </w:p>
    <w:p w14:paraId="2537FF07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прибыль организаций. Налоговый и отчётный периоды.</w:t>
      </w:r>
    </w:p>
    <w:p w14:paraId="703F7DC4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Расходы для целей налогообложения прибыли.</w:t>
      </w:r>
    </w:p>
    <w:p w14:paraId="4EC8BA51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Принципы ведения налогового учёта в целях налогообложения прибыли.</w:t>
      </w:r>
    </w:p>
    <w:p w14:paraId="05A0A7D8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Государственная пошлина.</w:t>
      </w:r>
    </w:p>
    <w:p w14:paraId="7F53CAF4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Основные элементы таможенного налогообложения.</w:t>
      </w:r>
    </w:p>
    <w:p w14:paraId="4C9DE967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игорный бизнес.</w:t>
      </w:r>
    </w:p>
    <w:p w14:paraId="610FEA82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Система налогообложения в виде единого налога на вмененный доход.</w:t>
      </w:r>
    </w:p>
    <w:p w14:paraId="3AA4721E" w14:textId="77777777" w:rsidR="00BC7B1F" w:rsidRPr="005708FD" w:rsidRDefault="00BC7B1F" w:rsidP="00BC7B1F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Упрощенная система налогообложения.</w:t>
      </w:r>
    </w:p>
    <w:p w14:paraId="51BAAA29" w14:textId="77777777" w:rsidR="00BC7B1F" w:rsidRPr="00195356" w:rsidRDefault="00BC7B1F" w:rsidP="00BC7B1F">
      <w:pPr>
        <w:keepNext/>
        <w:keepLines/>
        <w:numPr>
          <w:ilvl w:val="0"/>
          <w:numId w:val="1"/>
        </w:numPr>
        <w:ind w:left="180"/>
        <w:contextualSpacing/>
        <w:outlineLvl w:val="0"/>
        <w:rPr>
          <w:rFonts w:eastAsia="Times New Roman"/>
          <w:bCs/>
          <w:iCs/>
          <w:szCs w:val="24"/>
          <w:lang w:eastAsia="ja-JP"/>
        </w:rPr>
      </w:pPr>
      <w:r w:rsidRPr="00195356">
        <w:rPr>
          <w:rFonts w:eastAsia="Times New Roman"/>
          <w:szCs w:val="24"/>
          <w:lang w:eastAsia="ru-RU"/>
        </w:rPr>
        <w:t>Патентная система налогообложения.</w:t>
      </w:r>
      <w:r w:rsidRPr="00195356">
        <w:rPr>
          <w:rFonts w:eastAsia="Times New Roman"/>
          <w:bCs/>
          <w:iCs/>
          <w:szCs w:val="24"/>
          <w:lang w:eastAsia="ja-JP"/>
        </w:rPr>
        <w:t xml:space="preserve">                                        </w:t>
      </w:r>
    </w:p>
    <w:p w14:paraId="06CD92DD" w14:textId="15085022" w:rsidR="00E51F43" w:rsidRDefault="00BC7B1F"/>
    <w:p w14:paraId="7AF6EEC8" w14:textId="6E337078" w:rsidR="00BC7B1F" w:rsidRDefault="00BC7B1F"/>
    <w:p w14:paraId="385AEA84" w14:textId="77777777" w:rsidR="00BC7B1F" w:rsidRPr="00D334A3" w:rsidRDefault="00BC7B1F" w:rsidP="00BC7B1F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D334A3"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2E39E7A" w14:textId="77777777" w:rsidR="00BC7B1F" w:rsidRPr="00D334A3" w:rsidRDefault="00BC7B1F" w:rsidP="00BC7B1F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D334A3">
        <w:rPr>
          <w:rFonts w:eastAsia="Times New Roman"/>
          <w:b/>
          <w:sz w:val="28"/>
          <w:szCs w:val="28"/>
        </w:rPr>
        <w:t xml:space="preserve">промежуточной аттестации по дисциплине </w:t>
      </w:r>
    </w:p>
    <w:p w14:paraId="41435D9A" w14:textId="77777777" w:rsidR="00BC7B1F" w:rsidRPr="00D334A3" w:rsidRDefault="00BC7B1F" w:rsidP="00BC7B1F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D334A3">
        <w:rPr>
          <w:rFonts w:eastAsia="Times New Roman"/>
          <w:b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Налоговое планирование</w:t>
      </w:r>
      <w:r w:rsidRPr="00D334A3">
        <w:rPr>
          <w:rFonts w:eastAsia="Times New Roman"/>
          <w:b/>
          <w:sz w:val="28"/>
          <w:szCs w:val="28"/>
        </w:rPr>
        <w:t>»</w:t>
      </w:r>
    </w:p>
    <w:p w14:paraId="506AA806" w14:textId="77777777" w:rsidR="00BC7B1F" w:rsidRPr="00D334A3" w:rsidRDefault="00BC7B1F" w:rsidP="00BC7B1F">
      <w:pPr>
        <w:spacing w:line="276" w:lineRule="auto"/>
        <w:ind w:firstLine="709"/>
        <w:contextualSpacing/>
        <w:jc w:val="center"/>
        <w:rPr>
          <w:rFonts w:eastAsia="Times New Roman"/>
          <w:sz w:val="28"/>
          <w:szCs w:val="28"/>
        </w:rPr>
      </w:pPr>
    </w:p>
    <w:p w14:paraId="26BCC82C" w14:textId="77777777" w:rsidR="00BC7B1F" w:rsidRPr="00D334A3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D334A3">
        <w:rPr>
          <w:rFonts w:eastAsia="Times New Roman"/>
          <w:sz w:val="28"/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rFonts w:eastAsia="Times New Roman"/>
          <w:sz w:val="28"/>
          <w:szCs w:val="28"/>
        </w:rPr>
        <w:t>задачу</w:t>
      </w:r>
      <w:r w:rsidRPr="00D334A3">
        <w:rPr>
          <w:rFonts w:eastAsia="Times New Roman"/>
          <w:sz w:val="28"/>
          <w:szCs w:val="28"/>
        </w:rPr>
        <w:t xml:space="preserve"> из нижеприведенного списка.</w:t>
      </w:r>
    </w:p>
    <w:p w14:paraId="3357F93B" w14:textId="77777777" w:rsidR="00BC7B1F" w:rsidRPr="00D334A3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14:paraId="51011D95" w14:textId="77777777" w:rsidR="00BC7B1F" w:rsidRDefault="00BC7B1F" w:rsidP="00BC7B1F">
      <w:pPr>
        <w:spacing w:line="276" w:lineRule="auto"/>
        <w:contextualSpacing/>
        <w:jc w:val="center"/>
        <w:rPr>
          <w:rFonts w:eastAsia="Times New Roman"/>
          <w:sz w:val="28"/>
          <w:szCs w:val="28"/>
        </w:rPr>
      </w:pPr>
      <w:r w:rsidRPr="00D334A3">
        <w:rPr>
          <w:rFonts w:eastAsia="Times New Roman"/>
          <w:sz w:val="28"/>
          <w:szCs w:val="28"/>
        </w:rPr>
        <w:t>Примерный перечень заданий</w:t>
      </w:r>
    </w:p>
    <w:p w14:paraId="32D8AC1B" w14:textId="77777777" w:rsidR="00BC7B1F" w:rsidRDefault="00BC7B1F" w:rsidP="00BC7B1F">
      <w:pPr>
        <w:spacing w:line="276" w:lineRule="auto"/>
        <w:contextualSpacing/>
        <w:jc w:val="center"/>
        <w:rPr>
          <w:rFonts w:eastAsia="Times New Roman"/>
          <w:sz w:val="28"/>
          <w:szCs w:val="28"/>
        </w:rPr>
      </w:pPr>
    </w:p>
    <w:p w14:paraId="3D4F4C85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347BD9">
        <w:rPr>
          <w:rFonts w:eastAsia="Times New Roman"/>
          <w:sz w:val="28"/>
          <w:szCs w:val="28"/>
        </w:rPr>
        <w:t xml:space="preserve"> 1. На основе данных (табл. 1) рассчитайте сумму налога на имущество организаций в отчетном и предыдущем периодах и определите влияние факторов на результативный показатель с помощью метода абсолютных разниц.</w:t>
      </w:r>
    </w:p>
    <w:p w14:paraId="26375373" w14:textId="77777777" w:rsidR="00BC7B1F" w:rsidRDefault="00BC7B1F" w:rsidP="00BC7B1F">
      <w:pPr>
        <w:spacing w:line="276" w:lineRule="auto"/>
        <w:contextualSpacing/>
        <w:jc w:val="center"/>
        <w:rPr>
          <w:rFonts w:eastAsia="Times New Roman"/>
          <w:sz w:val="28"/>
          <w:szCs w:val="28"/>
        </w:rPr>
      </w:pPr>
      <w:r w:rsidRPr="00347BD9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 wp14:anchorId="06333FE2" wp14:editId="77266AE9">
            <wp:extent cx="5939790" cy="372424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2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210B" w14:textId="77777777" w:rsidR="00BC7B1F" w:rsidRPr="00D334A3" w:rsidRDefault="00BC7B1F" w:rsidP="00BC7B1F">
      <w:pPr>
        <w:spacing w:line="276" w:lineRule="auto"/>
        <w:contextualSpacing/>
        <w:jc w:val="center"/>
        <w:rPr>
          <w:rFonts w:eastAsia="Times New Roman"/>
          <w:sz w:val="28"/>
          <w:szCs w:val="28"/>
        </w:rPr>
      </w:pPr>
    </w:p>
    <w:p w14:paraId="2EC57AAA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347BD9">
        <w:rPr>
          <w:rFonts w:eastAsia="Times New Roman"/>
          <w:sz w:val="28"/>
          <w:szCs w:val="28"/>
        </w:rPr>
        <w:t xml:space="preserve"> 2. На основе данных (табл. 2) рассчитайте сумму налога</w:t>
      </w:r>
    </w:p>
    <w:p w14:paraId="68FF932A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на прибыль организаций в отчетном и предыдущем периодах и определите влияние факторов на результативный показатель с помощью</w:t>
      </w:r>
    </w:p>
    <w:p w14:paraId="2FBD9012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метода цепных подстановок.</w:t>
      </w:r>
    </w:p>
    <w:p w14:paraId="164CC5E7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14:paraId="1A50EDB6" w14:textId="77777777" w:rsidR="00BC7B1F" w:rsidRDefault="00BC7B1F" w:rsidP="00BC7B1F">
      <w:pPr>
        <w:jc w:val="center"/>
        <w:rPr>
          <w:rFonts w:eastAsia="Times New Roman"/>
          <w:b/>
          <w:szCs w:val="24"/>
          <w:lang w:eastAsia="ru-RU"/>
        </w:rPr>
      </w:pPr>
      <w:r w:rsidRPr="00347BD9">
        <w:rPr>
          <w:rFonts w:eastAsia="Times New Roman"/>
          <w:b/>
          <w:noProof/>
          <w:szCs w:val="24"/>
          <w:lang w:eastAsia="ru-RU"/>
        </w:rPr>
        <w:drawing>
          <wp:inline distT="0" distB="0" distL="0" distR="0" wp14:anchorId="17E05420" wp14:editId="1407FD42">
            <wp:extent cx="5939790" cy="181890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1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1AD6" w14:textId="77777777" w:rsidR="00BC7B1F" w:rsidRDefault="00BC7B1F" w:rsidP="00BC7B1F">
      <w:pPr>
        <w:jc w:val="center"/>
        <w:rPr>
          <w:rFonts w:eastAsia="Times New Roman"/>
          <w:b/>
          <w:szCs w:val="24"/>
          <w:lang w:eastAsia="ru-RU"/>
        </w:rPr>
      </w:pPr>
    </w:p>
    <w:p w14:paraId="245E54AB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347BD9">
        <w:rPr>
          <w:rFonts w:eastAsia="Times New Roman"/>
          <w:sz w:val="28"/>
          <w:szCs w:val="28"/>
        </w:rPr>
        <w:t xml:space="preserve"> 3. На основе данных (табл. 3) рассчитайте сумму налога на добавленную стоимость в отчетном и предыдущем периодах и определите влияние факторов на результативный показатель с помощью интегрального метода.</w:t>
      </w:r>
    </w:p>
    <w:p w14:paraId="51E2DE31" w14:textId="77777777" w:rsidR="00BC7B1F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 wp14:anchorId="118B9835" wp14:editId="335AEAD1">
            <wp:extent cx="5939790" cy="1373833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7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2CEE1" w14:textId="77777777" w:rsidR="00BC7B1F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14:paraId="5A772F61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347BD9">
        <w:rPr>
          <w:rFonts w:eastAsia="Times New Roman"/>
          <w:sz w:val="28"/>
          <w:szCs w:val="28"/>
        </w:rPr>
        <w:t xml:space="preserve"> 4. Деятельность организации характеризуется рядом экономических показателей (табл. 4).</w:t>
      </w:r>
    </w:p>
    <w:p w14:paraId="29618B6F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noProof/>
          <w:sz w:val="28"/>
          <w:szCs w:val="28"/>
        </w:rPr>
        <w:drawing>
          <wp:inline distT="0" distB="0" distL="0" distR="0" wp14:anchorId="41EF2B4B" wp14:editId="0F5CAE25">
            <wp:extent cx="5939790" cy="276728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EA15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14:paraId="08D6E96B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Используя табличные данные, рассчитайте налоговую нагрузку по</w:t>
      </w:r>
    </w:p>
    <w:p w14:paraId="37C573C8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методике:</w:t>
      </w:r>
    </w:p>
    <w:p w14:paraId="2CF78531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- Департамента налоговой политики Министерства финансов РФ;</w:t>
      </w:r>
    </w:p>
    <w:p w14:paraId="2EBD71DB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- Т.К. Островенко;</w:t>
      </w:r>
    </w:p>
    <w:p w14:paraId="34C5BC38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- М.И. Литвина;</w:t>
      </w:r>
    </w:p>
    <w:p w14:paraId="20D28C22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 xml:space="preserve">- М.Н. </w:t>
      </w:r>
      <w:proofErr w:type="spellStart"/>
      <w:r w:rsidRPr="00347BD9">
        <w:rPr>
          <w:rFonts w:eastAsia="Times New Roman"/>
          <w:sz w:val="28"/>
          <w:szCs w:val="28"/>
        </w:rPr>
        <w:t>Крейниной</w:t>
      </w:r>
      <w:proofErr w:type="spellEnd"/>
      <w:r w:rsidRPr="00347BD9">
        <w:rPr>
          <w:rFonts w:eastAsia="Times New Roman"/>
          <w:sz w:val="28"/>
          <w:szCs w:val="28"/>
        </w:rPr>
        <w:t>.</w:t>
      </w:r>
    </w:p>
    <w:p w14:paraId="4856BB62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Определите влияние факторов (налоговой нагрузки по методике</w:t>
      </w:r>
    </w:p>
    <w:p w14:paraId="425F7FEF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Минфина России и выручки) на результативный показатель (сумму</w:t>
      </w:r>
    </w:p>
    <w:p w14:paraId="64BBCBCA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налогов) с помощью интегрального метода.</w:t>
      </w:r>
    </w:p>
    <w:p w14:paraId="1385E7AA" w14:textId="77777777" w:rsidR="00BC7B1F" w:rsidRDefault="00BC7B1F" w:rsidP="00BC7B1F">
      <w:pPr>
        <w:jc w:val="center"/>
        <w:rPr>
          <w:rFonts w:eastAsia="Times New Roman"/>
          <w:b/>
          <w:szCs w:val="24"/>
          <w:lang w:eastAsia="ru-RU"/>
        </w:rPr>
      </w:pPr>
    </w:p>
    <w:p w14:paraId="13153216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347BD9">
        <w:rPr>
          <w:rFonts w:eastAsia="Times New Roman"/>
          <w:sz w:val="28"/>
          <w:szCs w:val="28"/>
        </w:rPr>
        <w:t xml:space="preserve"> 5. На основе данных (табл. 5) определите показатели качества налогового планирования и управления территориальными финансами.</w:t>
      </w:r>
    </w:p>
    <w:p w14:paraId="2F2F3ADA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14:paraId="41F19443" w14:textId="77777777" w:rsidR="00BC7B1F" w:rsidRDefault="00BC7B1F" w:rsidP="00BC7B1F">
      <w:pPr>
        <w:jc w:val="center"/>
        <w:rPr>
          <w:rFonts w:eastAsia="Times New Roman"/>
          <w:b/>
          <w:szCs w:val="24"/>
          <w:lang w:eastAsia="ru-RU"/>
        </w:rPr>
      </w:pPr>
      <w:r w:rsidRPr="00347BD9">
        <w:rPr>
          <w:rFonts w:eastAsia="Times New Roman"/>
          <w:b/>
          <w:noProof/>
          <w:szCs w:val="24"/>
          <w:lang w:eastAsia="ru-RU"/>
        </w:rPr>
        <w:lastRenderedPageBreak/>
        <w:drawing>
          <wp:inline distT="0" distB="0" distL="0" distR="0" wp14:anchorId="7191895F" wp14:editId="774FE9BC">
            <wp:extent cx="5939790" cy="2125426"/>
            <wp:effectExtent l="0" t="0" r="381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2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AAB9" w14:textId="77777777" w:rsidR="00BC7B1F" w:rsidRPr="005708FD" w:rsidRDefault="00BC7B1F" w:rsidP="00BC7B1F">
      <w:pPr>
        <w:jc w:val="center"/>
        <w:rPr>
          <w:rFonts w:eastAsia="Times New Roman"/>
          <w:b/>
          <w:szCs w:val="24"/>
          <w:lang w:eastAsia="ru-RU"/>
        </w:rPr>
      </w:pPr>
    </w:p>
    <w:p w14:paraId="658F79FC" w14:textId="77777777" w:rsidR="00BC7B1F" w:rsidRPr="00900376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00376">
        <w:rPr>
          <w:rFonts w:eastAsia="Times New Roman"/>
          <w:sz w:val="28"/>
          <w:szCs w:val="28"/>
        </w:rPr>
        <w:t>Установите влияние факторов на результативный показатель (налоговую обеспеченность) с помощью метода цепных подстановок.</w:t>
      </w:r>
    </w:p>
    <w:p w14:paraId="4C479F46" w14:textId="77777777" w:rsidR="00BC7B1F" w:rsidRDefault="00BC7B1F" w:rsidP="00BC7B1F">
      <w:pPr>
        <w:jc w:val="both"/>
        <w:rPr>
          <w:rFonts w:eastAsia="Times New Roman"/>
          <w:szCs w:val="24"/>
          <w:lang w:eastAsia="ru-RU"/>
        </w:rPr>
      </w:pPr>
    </w:p>
    <w:p w14:paraId="72B61B64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Задача</w:t>
      </w:r>
      <w:r w:rsidRPr="00347BD9">
        <w:rPr>
          <w:rFonts w:eastAsia="Times New Roman"/>
          <w:sz w:val="28"/>
          <w:szCs w:val="28"/>
        </w:rPr>
        <w:t xml:space="preserve"> 6. Проведите анализ методов амортизации основных</w:t>
      </w:r>
    </w:p>
    <w:p w14:paraId="4F45B8CC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средств и предложите более эффективный для целей налогообложения прибыли. Организация приобрела объект основных средств стоимостью 147 400 руб. Срок полезного использования объекта – три года.</w:t>
      </w:r>
    </w:p>
    <w:p w14:paraId="40CF527C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Ответ обоснуйте.</w:t>
      </w:r>
    </w:p>
    <w:p w14:paraId="6C9C39DC" w14:textId="77777777" w:rsidR="00BC7B1F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14:paraId="40648C75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347BD9">
        <w:rPr>
          <w:rFonts w:eastAsia="Times New Roman"/>
          <w:sz w:val="28"/>
          <w:szCs w:val="28"/>
        </w:rPr>
        <w:t xml:space="preserve"> 7. Проведите анализ методов амортизации основных</w:t>
      </w:r>
    </w:p>
    <w:p w14:paraId="6C6D2EC1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средств (линейный метод и по сумме чисел лет срока полезного использования) и предложите более эффективный для целей налогообложения имущества. Организация приобрела объект основных</w:t>
      </w:r>
    </w:p>
    <w:p w14:paraId="33A7A28B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средств стоимостью 253 100 руб. Срок полезного использования</w:t>
      </w:r>
    </w:p>
    <w:p w14:paraId="41136EDC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объекта – три года.</w:t>
      </w:r>
    </w:p>
    <w:p w14:paraId="2190C8E3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Ответ обоснуйте.</w:t>
      </w:r>
    </w:p>
    <w:p w14:paraId="4A777392" w14:textId="77777777" w:rsidR="00BC7B1F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14:paraId="63999056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347BD9">
        <w:rPr>
          <w:rFonts w:eastAsia="Times New Roman"/>
          <w:sz w:val="28"/>
          <w:szCs w:val="28"/>
        </w:rPr>
        <w:t xml:space="preserve"> 8. Проведите анализ методов амортизации основных</w:t>
      </w:r>
    </w:p>
    <w:p w14:paraId="15432D74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средств (линейный метод и метод уменьшаемого остатка с ускоренным коэффициентом 2) и предложите более эффективный для целей</w:t>
      </w:r>
    </w:p>
    <w:p w14:paraId="4D33786E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налогообложения имущества. Организация приобрела объект основных средств стоимостью 204 000 руб. Срок полезного использования</w:t>
      </w:r>
    </w:p>
    <w:p w14:paraId="4AA00421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объекта – три года.</w:t>
      </w:r>
    </w:p>
    <w:p w14:paraId="77CB3C9A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47BD9">
        <w:rPr>
          <w:rFonts w:eastAsia="Times New Roman"/>
          <w:sz w:val="28"/>
          <w:szCs w:val="28"/>
        </w:rPr>
        <w:t>Ответ обоснуйте.</w:t>
      </w:r>
    </w:p>
    <w:p w14:paraId="4AE0DF40" w14:textId="77777777" w:rsidR="00BC7B1F" w:rsidRPr="00347BD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14:paraId="2FE1651B" w14:textId="77777777" w:rsidR="00BC7B1F" w:rsidRPr="00D3315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D3315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D33159">
        <w:rPr>
          <w:rFonts w:eastAsia="Times New Roman"/>
          <w:sz w:val="28"/>
          <w:szCs w:val="28"/>
        </w:rPr>
        <w:t xml:space="preserve"> 9. Проведите анализ методов амортизации основных средств (метод уменьшаемого остатка с ускоренным коэффициентом 2 и по сумме чисел лет срока полезного использования) и предложите более эффективный для целей налогообложения имущества. Организация приобрела объект основных </w:t>
      </w:r>
      <w:r w:rsidRPr="00D33159">
        <w:rPr>
          <w:rFonts w:eastAsia="Times New Roman"/>
          <w:sz w:val="28"/>
          <w:szCs w:val="28"/>
        </w:rPr>
        <w:lastRenderedPageBreak/>
        <w:t>средств стоимостью 153 000 руб. Срок полезного использования объекта – три года.</w:t>
      </w:r>
    </w:p>
    <w:p w14:paraId="74F081E4" w14:textId="77777777" w:rsidR="00BC7B1F" w:rsidRPr="00D3315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D33159">
        <w:rPr>
          <w:rFonts w:eastAsia="Times New Roman"/>
          <w:sz w:val="28"/>
          <w:szCs w:val="28"/>
        </w:rPr>
        <w:t>Ответ обоснуйте.</w:t>
      </w:r>
    </w:p>
    <w:p w14:paraId="49B3F3CD" w14:textId="77777777" w:rsidR="00BC7B1F" w:rsidRPr="00D3315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D3315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D33159">
        <w:rPr>
          <w:rFonts w:eastAsia="Times New Roman"/>
          <w:sz w:val="28"/>
          <w:szCs w:val="28"/>
        </w:rPr>
        <w:t xml:space="preserve"> 10. Проведите анализ методов амортизации основных средств (метод уменьшаемого остатка и по сумме чисел лет срока полезного использования) и предложите более эффективный для целей налогообложения имущества. Организация приобрела объект основных средств стоимостью 153 000 руб. Срок полезного использования объекта – три года.</w:t>
      </w:r>
    </w:p>
    <w:p w14:paraId="179CCF93" w14:textId="77777777" w:rsidR="00BC7B1F" w:rsidRPr="00D3315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D33159">
        <w:rPr>
          <w:rFonts w:eastAsia="Times New Roman"/>
          <w:sz w:val="28"/>
          <w:szCs w:val="28"/>
        </w:rPr>
        <w:t>Ответ обоснуйте.</w:t>
      </w:r>
    </w:p>
    <w:p w14:paraId="75D3F48B" w14:textId="77777777" w:rsidR="00BC7B1F" w:rsidRPr="00D3315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D33159">
        <w:rPr>
          <w:rFonts w:eastAsia="Times New Roman"/>
          <w:sz w:val="28"/>
          <w:szCs w:val="28"/>
        </w:rPr>
        <w:t>Зада</w:t>
      </w:r>
      <w:r>
        <w:rPr>
          <w:rFonts w:eastAsia="Times New Roman"/>
          <w:sz w:val="28"/>
          <w:szCs w:val="28"/>
        </w:rPr>
        <w:t>ча</w:t>
      </w:r>
      <w:r w:rsidRPr="00D33159">
        <w:rPr>
          <w:rFonts w:eastAsia="Times New Roman"/>
          <w:sz w:val="28"/>
          <w:szCs w:val="28"/>
        </w:rPr>
        <w:t xml:space="preserve"> 11. Проведите анализ методов списания материалов (метод средневзвешенной себестоимости и метод ФИФО) и предложите более эффективный для целей налогообложения прибыли. В бухгалтерии промышленного предприятия отражено следующее движение материалов (табл. 11).</w:t>
      </w:r>
    </w:p>
    <w:p w14:paraId="5F5976E6" w14:textId="77777777" w:rsidR="00BC7B1F" w:rsidRPr="00D33159" w:rsidRDefault="00BC7B1F" w:rsidP="00BC7B1F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D33159">
        <w:rPr>
          <w:rFonts w:eastAsia="Times New Roman"/>
          <w:noProof/>
          <w:sz w:val="28"/>
          <w:szCs w:val="28"/>
        </w:rPr>
        <w:drawing>
          <wp:inline distT="0" distB="0" distL="0" distR="0" wp14:anchorId="4FC6C49C" wp14:editId="1771837E">
            <wp:extent cx="5939790" cy="2890506"/>
            <wp:effectExtent l="0" t="0" r="381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9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E8CED" w14:textId="77777777" w:rsidR="00BC7B1F" w:rsidRDefault="00BC7B1F">
      <w:bookmarkStart w:id="0" w:name="_GoBack"/>
      <w:bookmarkEnd w:id="0"/>
    </w:p>
    <w:sectPr w:rsidR="00BC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B6610"/>
    <w:multiLevelType w:val="hybridMultilevel"/>
    <w:tmpl w:val="A09872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B2"/>
    <w:rsid w:val="004E2732"/>
    <w:rsid w:val="005D7959"/>
    <w:rsid w:val="008752B2"/>
    <w:rsid w:val="00B53093"/>
    <w:rsid w:val="00B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C8C1"/>
  <w15:chartTrackingRefBased/>
  <w15:docId w15:val="{56D1E203-7F3E-4E02-8DA6-84ED2D0B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B1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B1F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2026-05-18T12:11:00Z</dcterms:created>
  <dcterms:modified xsi:type="dcterms:W3CDTF">2026-05-18T12:12:00Z</dcterms:modified>
</cp:coreProperties>
</file>