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7C8" w:rsidRPr="00893CD2" w:rsidRDefault="00A557C8" w:rsidP="00BA5278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CD2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A557C8" w:rsidRPr="00893CD2" w:rsidRDefault="00A557C8" w:rsidP="00BA5278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CD2">
        <w:rPr>
          <w:rFonts w:ascii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  <w:r w:rsidRPr="00893CD2">
        <w:rPr>
          <w:rFonts w:ascii="Times New Roman" w:hAnsi="Times New Roman" w:cs="Times New Roman"/>
          <w:b/>
          <w:sz w:val="28"/>
          <w:szCs w:val="28"/>
        </w:rPr>
        <w:br/>
      </w:r>
    </w:p>
    <w:p w:rsidR="00A557C8" w:rsidRPr="00893CD2" w:rsidRDefault="00A557C8" w:rsidP="00BA5278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CD2">
        <w:rPr>
          <w:rFonts w:ascii="Times New Roman" w:hAnsi="Times New Roman" w:cs="Times New Roman"/>
          <w:b/>
          <w:sz w:val="28"/>
          <w:szCs w:val="28"/>
        </w:rPr>
        <w:t>«</w:t>
      </w:r>
      <w:r w:rsidR="008E2E1A" w:rsidRPr="008E2E1A">
        <w:rPr>
          <w:rFonts w:ascii="Times New Roman" w:hAnsi="Times New Roman" w:cs="Times New Roman"/>
          <w:b/>
          <w:sz w:val="28"/>
          <w:szCs w:val="28"/>
        </w:rPr>
        <w:t>Организация работы начальника станции</w:t>
      </w:r>
      <w:r w:rsidRPr="00893CD2">
        <w:rPr>
          <w:rFonts w:ascii="Times New Roman" w:hAnsi="Times New Roman" w:cs="Times New Roman"/>
          <w:b/>
          <w:sz w:val="28"/>
          <w:szCs w:val="28"/>
        </w:rPr>
        <w:t>»</w:t>
      </w:r>
    </w:p>
    <w:p w:rsidR="00A557C8" w:rsidRPr="00893CD2" w:rsidRDefault="00A557C8" w:rsidP="00BA5278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57C8" w:rsidRPr="00893CD2" w:rsidRDefault="00A557C8" w:rsidP="00A557C8">
      <w:pPr>
        <w:pStyle w:val="3"/>
        <w:spacing w:after="12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</w:rPr>
      </w:pPr>
      <w:r w:rsidRPr="00893CD2">
        <w:rPr>
          <w:rFonts w:ascii="Times New Roman" w:hAnsi="Times New Roman" w:cs="Times New Roman"/>
          <w:color w:val="000000" w:themeColor="text1"/>
          <w:sz w:val="28"/>
        </w:rPr>
        <w:t>При проведении аттестации (зачета) обучающемуся предлагается дать ответы на 2 вопроса из нижеприведенного списка.</w:t>
      </w:r>
      <w:bookmarkStart w:id="0" w:name="_GoBack"/>
      <w:bookmarkEnd w:id="0"/>
    </w:p>
    <w:tbl>
      <w:tblPr>
        <w:tblStyle w:val="ad"/>
        <w:tblW w:w="4925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1A230B" w:rsidTr="00403DC4">
        <w:trPr>
          <w:trHeight w:val="343"/>
        </w:trPr>
        <w:tc>
          <w:tcPr>
            <w:tcW w:w="5000" w:type="pct"/>
            <w:hideMark/>
          </w:tcPr>
          <w:p w:rsidR="001A230B" w:rsidRDefault="00893CD2" w:rsidP="00893CD2">
            <w:pPr>
              <w:spacing w:line="276" w:lineRule="auto"/>
              <w:ind w:right="-131" w:firstLine="61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Примерный перечень вопросов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Структура управления железнодорожной станцией. Права, обязанности, ответственность начальника железнодорожной станции. 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Структура управления железнодорожным транспортом. 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Межгосударственные органы управления. 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Государственные органы управления. 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Организационная структура ОАО «РЖД». 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>Структура оперативно-диспетчерской смены ЦД.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>Права, обязанности, ответственность ДС.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Мероприятия по обеспечению безопасности движения поездов. 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>Главные составляющие системы обеспечения безопасности движения поездов.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>Причины возникновения нарушений безопасности движения поездов.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>Профессиональный отбор кандидатов на должности, связанные с движением поездов.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>Организация технического обучения кадров и повышение их квалификации, отработка практических навыков действий в нестандартных ситуациях.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>Периодические испытания работников, связанных с движением поездов, в знании ПТЭ, других нормативных актов и должностных инструкций;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>Регулярное проведение внезапных проверок (в т.ч. ночных) несения службы работниками, связанными с движением поездов и маневровой работой.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>Проведение еженедельных дней безопасности движения.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Расследование каждого случая нарушения безопасности движения с разбором результатов в установленном порядке. 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>Содержание в исправном состоянии и эффективное использование средств дефектоскопии и систем диагностики.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t>Осуществление по утвержденному графику проверок состояния и использования устройств и приборов безопасности (АЛСН, ПОНАБ, ДИСК, радиосвязи и других) с принятием мер по устранению выявленных недостатков.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>Проведение постоянной работы по созданию и внедрению новых устройств, приборов безопасности и систем диагностики.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>Сертификация технических средств железнодорожного транспорта и лицензирование производственной деятельности предприятий по их ремонту.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>Осуществление комплекса организационно-технических мер по предупреждению особо опасных нарушений.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Организация актово-претензионной и претензионно исковой работы на железнодорожной станции. 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>Порядок составления коммерческих актов, учета случаев несохранных перевозок, расчетов между железными дорогами по удовлетворенным претензиям и искам за утрату, недостачу, порчу и повреждение груза.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>Пересылки коммерческих актов, учета случаев несохранных перевозок, расчетов между железными дорогами по удовлетворенным претензиям и искам за утрату, недостачу, порчу и повреждение груза.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>Расследования коммерческих актов, учета случаев несохранных перевозок, расчетов между железными дорогами по удовлетворенным претензиям и искам за утрату, недостачу, порчу и повреждение груза.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>Описание в коммерческом акте результата проверки груза.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>Порядок обжалования отказа в составлении актов и подпись актов.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>Требования к составлению актов.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>Порядок расследования случаев по несохранным перевозкам грузов.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Порядок предъявления претензий. 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Элементы претензионного порядка. 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Порядок и сроки рассмотрения претензий перевозчиком. 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Порядок предъявления исков к перевозчикам и клиентам. 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Требования к иску и прилагаемым документам. 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Особенности рассмотрения споров в судах. 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>Порядок возмещения ущерба виновной стороной.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Организация проведения комиссионного месячного осмотра железнодорожной станции. 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t xml:space="preserve">Порядок организации и проведения осмотра сооружений, устройств и служебно-технических зданий, находящихся в распоряжении начальника станции, а также стрелочных переводов на главных и приемоотправочных путях (далее осмотр) на железных дорогах ОАО «РЖД». 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>Основные задачи осмотра.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>Определение текущего состояния инфраструктуры станций.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>Выявление отклонений в содержании инфраструктуры.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>Определение сроков устранения неисправностей.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>Осуществление контроля за устранением выявленных неисправностей.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>Периодичность проведения комиссионного осмотра.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>Оформление результатов осмотра в системе АС КМО.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Организация работы начальника железнодорожной станции в прериод проведения ремонтных работ на станции и прилегающих участках. 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>Прием и отправление поездов в условиях производства ремонтно-строительных работ на железнодорожных путях и сооружениях;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>Производства маневров на станциях в условиях производства ремонтно-строительных работ на железнодорожных путях и сооружениях;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>Порядок выдачи предупреждений на поезда в условиях производства ремонтно-строительных работ на железнодорожных путях и сооружениях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.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>Другие правила, регламентирующие безопасность движения поездов и маневровой работы в условиях производства ремонтно-строительных работ на железнодорожных путях и сооружениях.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Работа станции в зимний период. 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>Порядок подготовки станции к работе в зимних условиях.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>Организация работ по снегоборьбе.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>Меры по обеспечению безопасности и бесперебойному движению поездов.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>Порядок работы при особо сложных погодных условиях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>Сроки, система планирования работ и контроль за выполнением.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Обеспечение и контроль за транспортной безопасностью объектов инфраструктуры на железнодорожной станции. Взаимодействие с органами исполнительной власти. 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>Основные направления деятельности подразделений аппарата управления, филиалов, структурных подразделений ОАО "РЖД" по организации обеспечения транспортной безопасности.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t>Обеспечение транспортной безопасности объектов и транспортных средств подразделения аппарата управления, филиалы, структурные подразделения ОАО «РЖД».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>Категорирование объектов транспортной инфраструктуры и транспортных средств.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>Критические элементы объекта транспортной инфраструктуры.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>Лица, ответственные за обеспечение транспортной безопасности в субъекте транспортной инфраструктуры.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Организация работы по антитеррористической деятельности и гражданской обороне на станции. 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>Организация антитеррористической безопасности на станции.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>Обеспечение охраны станции.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>Разрабатываемая документация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>Меры инженерно-технической укрепленности станции.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>Оборудование объекта техническими средствами охранной и тревожной сигнализации.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>Системы оповещения.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>Рекомендации по действиям при обнаружении признаков, указывающих на возможность совершения террористических актов.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>Рекомендации по действиям в условиях совершения террористического акта.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Охрана труда, коллективный договор. 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>Перечень требований инструкций и правил по охране труда, подлежащих выполнению.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>Порядок прохождения медицинских осмотров и инструктажей.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>Обеспечение работникам безопасные условия труда.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Какие профессии и работы являются вредными или опасными. 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>Работники каких профессий вправе претендовать на дополнител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ь</w:t>
            </w: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>ные гарантии, льготы и компенсации.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>Какие гарантии, льготы и компенсации предоставляются работникам.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Главная цель коллективного договора. 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>Стороны коллективного договора.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>Значение коллективных договоров.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>Классификация условий коллективного договора.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>Срок ведения коллективных переговоров.</w:t>
            </w:r>
          </w:p>
          <w:p w:rsid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Порядок действий при аварийных и черезвычайных ситуациях. 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Экологическая безопасность. 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t>Меры безопасности и порядок ликвидации аварийных ситуаций с опасными грузами при перевозке их по железным дорогам.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>Действия работников железнодорожного транспорта и привлеченных формирований при возникновении аварийной ситуации.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>Основные формы проявления транспортной опасности грузов.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>Необходимые для ликвидации аварийной ситуации средства.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>Указания по доврачебной помощи.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>Указания по врачебной помощи.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>Сущность экологических рисков.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>Характеристика железнодорожной отрасли с точки зрения негативного воздействия на окружающую среду.</w:t>
            </w:r>
          </w:p>
          <w:p w:rsidR="00403DC4" w:rsidRPr="00403DC4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>Разработки нормативных документов и научно-технического обеспечения природоохранной деятельности как одного из приоритетных направлений развития науки, техники и технологий в холдинге ОАО «РЖД».</w:t>
            </w:r>
          </w:p>
        </w:tc>
      </w:tr>
      <w:tr w:rsidR="00425F53" w:rsidTr="00403DC4">
        <w:trPr>
          <w:trHeight w:val="343"/>
        </w:trPr>
        <w:tc>
          <w:tcPr>
            <w:tcW w:w="5000" w:type="pct"/>
          </w:tcPr>
          <w:p w:rsidR="00425F53" w:rsidRDefault="00425F53" w:rsidP="00893CD2">
            <w:pPr>
              <w:spacing w:line="276" w:lineRule="auto"/>
              <w:ind w:right="-131" w:firstLine="61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</w:tbl>
    <w:p w:rsidR="00896C42" w:rsidRDefault="00896C42" w:rsidP="00403DC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896C42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B58D0"/>
    <w:multiLevelType w:val="hybridMultilevel"/>
    <w:tmpl w:val="437078F2"/>
    <w:lvl w:ilvl="0" w:tplc="0419000F">
      <w:start w:val="1"/>
      <w:numFmt w:val="decimal"/>
      <w:lvlText w:val="%1."/>
      <w:lvlJc w:val="left"/>
      <w:pPr>
        <w:ind w:left="1337" w:hanging="360"/>
      </w:pPr>
    </w:lvl>
    <w:lvl w:ilvl="1" w:tplc="04190019" w:tentative="1">
      <w:start w:val="1"/>
      <w:numFmt w:val="lowerLetter"/>
      <w:lvlText w:val="%2."/>
      <w:lvlJc w:val="left"/>
      <w:pPr>
        <w:ind w:left="2057" w:hanging="360"/>
      </w:pPr>
    </w:lvl>
    <w:lvl w:ilvl="2" w:tplc="0419001B" w:tentative="1">
      <w:start w:val="1"/>
      <w:numFmt w:val="lowerRoman"/>
      <w:lvlText w:val="%3."/>
      <w:lvlJc w:val="right"/>
      <w:pPr>
        <w:ind w:left="2777" w:hanging="180"/>
      </w:pPr>
    </w:lvl>
    <w:lvl w:ilvl="3" w:tplc="0419000F" w:tentative="1">
      <w:start w:val="1"/>
      <w:numFmt w:val="decimal"/>
      <w:lvlText w:val="%4."/>
      <w:lvlJc w:val="left"/>
      <w:pPr>
        <w:ind w:left="3497" w:hanging="360"/>
      </w:pPr>
    </w:lvl>
    <w:lvl w:ilvl="4" w:tplc="04190019" w:tentative="1">
      <w:start w:val="1"/>
      <w:numFmt w:val="lowerLetter"/>
      <w:lvlText w:val="%5."/>
      <w:lvlJc w:val="left"/>
      <w:pPr>
        <w:ind w:left="4217" w:hanging="360"/>
      </w:pPr>
    </w:lvl>
    <w:lvl w:ilvl="5" w:tplc="0419001B" w:tentative="1">
      <w:start w:val="1"/>
      <w:numFmt w:val="lowerRoman"/>
      <w:lvlText w:val="%6."/>
      <w:lvlJc w:val="right"/>
      <w:pPr>
        <w:ind w:left="4937" w:hanging="180"/>
      </w:pPr>
    </w:lvl>
    <w:lvl w:ilvl="6" w:tplc="0419000F" w:tentative="1">
      <w:start w:val="1"/>
      <w:numFmt w:val="decimal"/>
      <w:lvlText w:val="%7."/>
      <w:lvlJc w:val="left"/>
      <w:pPr>
        <w:ind w:left="5657" w:hanging="360"/>
      </w:pPr>
    </w:lvl>
    <w:lvl w:ilvl="7" w:tplc="04190019" w:tentative="1">
      <w:start w:val="1"/>
      <w:numFmt w:val="lowerLetter"/>
      <w:lvlText w:val="%8."/>
      <w:lvlJc w:val="left"/>
      <w:pPr>
        <w:ind w:left="6377" w:hanging="360"/>
      </w:pPr>
    </w:lvl>
    <w:lvl w:ilvl="8" w:tplc="0419001B" w:tentative="1">
      <w:start w:val="1"/>
      <w:numFmt w:val="lowerRoman"/>
      <w:lvlText w:val="%9."/>
      <w:lvlJc w:val="right"/>
      <w:pPr>
        <w:ind w:left="7097" w:hanging="180"/>
      </w:pPr>
    </w:lvl>
  </w:abstractNum>
  <w:abstractNum w:abstractNumId="1" w15:restartNumberingAfterBreak="0">
    <w:nsid w:val="6D842939"/>
    <w:multiLevelType w:val="hybridMultilevel"/>
    <w:tmpl w:val="3A2C1606"/>
    <w:lvl w:ilvl="0" w:tplc="0419000F">
      <w:start w:val="1"/>
      <w:numFmt w:val="decimal"/>
      <w:lvlText w:val="%1."/>
      <w:lvlJc w:val="left"/>
      <w:pPr>
        <w:ind w:left="1337" w:hanging="360"/>
      </w:pPr>
    </w:lvl>
    <w:lvl w:ilvl="1" w:tplc="04190019" w:tentative="1">
      <w:start w:val="1"/>
      <w:numFmt w:val="lowerLetter"/>
      <w:lvlText w:val="%2."/>
      <w:lvlJc w:val="left"/>
      <w:pPr>
        <w:ind w:left="2057" w:hanging="360"/>
      </w:pPr>
    </w:lvl>
    <w:lvl w:ilvl="2" w:tplc="0419001B" w:tentative="1">
      <w:start w:val="1"/>
      <w:numFmt w:val="lowerRoman"/>
      <w:lvlText w:val="%3."/>
      <w:lvlJc w:val="right"/>
      <w:pPr>
        <w:ind w:left="2777" w:hanging="180"/>
      </w:pPr>
    </w:lvl>
    <w:lvl w:ilvl="3" w:tplc="0419000F" w:tentative="1">
      <w:start w:val="1"/>
      <w:numFmt w:val="decimal"/>
      <w:lvlText w:val="%4."/>
      <w:lvlJc w:val="left"/>
      <w:pPr>
        <w:ind w:left="3497" w:hanging="360"/>
      </w:pPr>
    </w:lvl>
    <w:lvl w:ilvl="4" w:tplc="04190019" w:tentative="1">
      <w:start w:val="1"/>
      <w:numFmt w:val="lowerLetter"/>
      <w:lvlText w:val="%5."/>
      <w:lvlJc w:val="left"/>
      <w:pPr>
        <w:ind w:left="4217" w:hanging="360"/>
      </w:pPr>
    </w:lvl>
    <w:lvl w:ilvl="5" w:tplc="0419001B" w:tentative="1">
      <w:start w:val="1"/>
      <w:numFmt w:val="lowerRoman"/>
      <w:lvlText w:val="%6."/>
      <w:lvlJc w:val="right"/>
      <w:pPr>
        <w:ind w:left="4937" w:hanging="180"/>
      </w:pPr>
    </w:lvl>
    <w:lvl w:ilvl="6" w:tplc="0419000F" w:tentative="1">
      <w:start w:val="1"/>
      <w:numFmt w:val="decimal"/>
      <w:lvlText w:val="%7."/>
      <w:lvlJc w:val="left"/>
      <w:pPr>
        <w:ind w:left="5657" w:hanging="360"/>
      </w:pPr>
    </w:lvl>
    <w:lvl w:ilvl="7" w:tplc="04190019" w:tentative="1">
      <w:start w:val="1"/>
      <w:numFmt w:val="lowerLetter"/>
      <w:lvlText w:val="%8."/>
      <w:lvlJc w:val="left"/>
      <w:pPr>
        <w:ind w:left="6377" w:hanging="360"/>
      </w:pPr>
    </w:lvl>
    <w:lvl w:ilvl="8" w:tplc="0419001B" w:tentative="1">
      <w:start w:val="1"/>
      <w:numFmt w:val="lowerRoman"/>
      <w:lvlText w:val="%9."/>
      <w:lvlJc w:val="right"/>
      <w:pPr>
        <w:ind w:left="709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C35"/>
    <w:rsid w:val="001A230B"/>
    <w:rsid w:val="001D6C35"/>
    <w:rsid w:val="00403DC4"/>
    <w:rsid w:val="00425F53"/>
    <w:rsid w:val="00885710"/>
    <w:rsid w:val="00893CD2"/>
    <w:rsid w:val="00896C42"/>
    <w:rsid w:val="008E2E1A"/>
    <w:rsid w:val="00A5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91C3AA-0011-4D28-8424-80D3D9200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2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32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spacing w:after="0" w:line="240" w:lineRule="auto"/>
      <w:outlineLvl w:val="5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="Arial" w:eastAsia="Times New Roman" w:hAnsi="Arial" w:cs="Arial" w:hint="default"/>
      <w:sz w:val="32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theme="majorBidi" w:hint="default"/>
      <w:color w:val="1F4D78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semiHidden/>
    <w:locked/>
    <w:rPr>
      <w:rFonts w:ascii="Arial" w:eastAsia="Times New Roman" w:hAnsi="Arial" w:cs="Arial" w:hint="default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7">
    <w:name w:val="Body Text"/>
    <w:basedOn w:val="a"/>
    <w:link w:val="a8"/>
    <w:semiHidden/>
    <w:unhideWhenUsed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8">
    <w:name w:val="Основной текст Знак"/>
    <w:basedOn w:val="a0"/>
    <w:link w:val="a7"/>
    <w:semiHidden/>
    <w:locked/>
    <w:rPr>
      <w:rFonts w:ascii="Arial" w:eastAsia="Times New Roman" w:hAnsi="Arial" w:cs="Arial" w:hint="default"/>
      <w:sz w:val="28"/>
      <w:szCs w:val="22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Pr>
      <w:rFonts w:ascii="Tahoma" w:hAnsi="Tahoma" w:cs="Tahoma" w:hint="default"/>
      <w:sz w:val="16"/>
      <w:szCs w:val="16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тиль1 Знак"/>
    <w:basedOn w:val="a0"/>
    <w:link w:val="12"/>
    <w:locked/>
    <w:rPr>
      <w:rFonts w:ascii="Times New Roman" w:hAnsi="Times New Roman" w:cs="Times New Roman" w:hint="default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ac">
    <w:name w:val="Знак"/>
    <w:basedOn w:val="a"/>
    <w:semiHidden/>
    <w:pPr>
      <w:spacing w:line="28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d">
    <w:name w:val="Table Grid"/>
    <w:basedOn w:val="a1"/>
    <w:uiPriority w:val="39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1150</Words>
  <Characters>6560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Булгакова Ирина</dc:creator>
  <cp:keywords/>
  <dc:description/>
  <cp:lastModifiedBy>Тимкова Александра Юрьевна</cp:lastModifiedBy>
  <cp:revision>8</cp:revision>
  <dcterms:created xsi:type="dcterms:W3CDTF">2021-12-07T09:36:00Z</dcterms:created>
  <dcterms:modified xsi:type="dcterms:W3CDTF">2025-10-07T13:50:00Z</dcterms:modified>
</cp:coreProperties>
</file>