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4F9F1D1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="006467A7">
        <w:rPr>
          <w:rFonts w:ascii="Times New Roman" w:hAnsi="Times New Roman" w:cs="Times New Roman"/>
          <w:sz w:val="28"/>
          <w:szCs w:val="28"/>
          <w:u w:val="single"/>
        </w:rPr>
        <w:t xml:space="preserve">ный перечень вопросов на </w:t>
      </w:r>
      <w:r w:rsidR="00C03382">
        <w:rPr>
          <w:rFonts w:ascii="Times New Roman" w:hAnsi="Times New Roman" w:cs="Times New Roman"/>
          <w:sz w:val="28"/>
          <w:szCs w:val="28"/>
          <w:u w:val="single"/>
        </w:rPr>
        <w:t>экзамен</w:t>
      </w:r>
      <w:bookmarkStart w:id="0" w:name="_GoBack"/>
      <w:bookmarkEnd w:id="0"/>
      <w:r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6467A7" w:rsidRPr="00F97F7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Запас усталостной прочности и способы его оценки при детерминированных режимах нагружения.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усталостную прочность при случайных режимах нагружения.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усталостной прочности и способы ее повышения. Запас усталостной прочности и способы его оценки при детерминированных режимах нагружения.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9C"/>
    <w:rsid w:val="001E059C"/>
    <w:rsid w:val="002C7ADD"/>
    <w:rsid w:val="002E0466"/>
    <w:rsid w:val="006467A7"/>
    <w:rsid w:val="006C3EAA"/>
    <w:rsid w:val="007461A3"/>
    <w:rsid w:val="007A6AE4"/>
    <w:rsid w:val="009914E8"/>
    <w:rsid w:val="00BB7AEB"/>
    <w:rsid w:val="00C03382"/>
    <w:rsid w:val="00C4391A"/>
    <w:rsid w:val="00CD4BBB"/>
    <w:rsid w:val="00CD550D"/>
    <w:rsid w:val="00DC4308"/>
    <w:rsid w:val="00F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4</cp:revision>
  <dcterms:created xsi:type="dcterms:W3CDTF">2025-12-04T08:15:00Z</dcterms:created>
  <dcterms:modified xsi:type="dcterms:W3CDTF">2025-12-04T08:16:00Z</dcterms:modified>
</cp:coreProperties>
</file>