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CA2A" w14:textId="77777777" w:rsidR="004E3E3B" w:rsidRPr="008F1B5A" w:rsidRDefault="004E3E3B" w:rsidP="002E51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1BDF7F75" w14:textId="77777777" w:rsidR="004E3E3B" w:rsidRDefault="004E3E3B" w:rsidP="002E51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682968F1" w14:textId="77777777" w:rsidR="004E3E3B" w:rsidRDefault="004E3E3B" w:rsidP="002E51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7ABE3A8" w14:textId="77777777" w:rsidR="004E3E3B" w:rsidRPr="002E51D3" w:rsidRDefault="004E3E3B" w:rsidP="002E51D3">
      <w:pPr>
        <w:pStyle w:val="10"/>
        <w:jc w:val="center"/>
        <w:rPr>
          <w:b/>
          <w:lang w:val="ru-RU"/>
        </w:rPr>
      </w:pPr>
      <w:r w:rsidRPr="002E51D3">
        <w:rPr>
          <w:b/>
          <w:lang w:val="ru-RU"/>
        </w:rPr>
        <w:t>«</w:t>
      </w:r>
      <w:r>
        <w:rPr>
          <w:b/>
          <w:caps w:val="0"/>
          <w:noProof/>
          <w:lang w:val="ru-RU"/>
        </w:rPr>
        <w:t>Процессное управление организацией</w:t>
      </w:r>
      <w:r w:rsidRPr="002E51D3">
        <w:rPr>
          <w:b/>
          <w:lang w:val="ru-RU"/>
        </w:rPr>
        <w:t>»</w:t>
      </w:r>
    </w:p>
    <w:p w14:paraId="38497268" w14:textId="77777777" w:rsidR="004E3E3B" w:rsidRDefault="004E3E3B" w:rsidP="002E51D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4B6D978" w14:textId="0A78BE9B" w:rsidR="004E3E3B" w:rsidRDefault="004E3E3B" w:rsidP="002E51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25C1BAB2" w14:textId="77777777" w:rsidR="00032748" w:rsidRPr="00032748" w:rsidRDefault="00032748" w:rsidP="002E5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23F9EF" w14:textId="77777777" w:rsidR="008D2B58" w:rsidRPr="004B22D0" w:rsidRDefault="004B22D0" w:rsidP="002E51D3">
      <w:pPr>
        <w:spacing w:after="0" w:line="240" w:lineRule="auto"/>
        <w:ind w:left="360"/>
        <w:rPr>
          <w:rFonts w:ascii="Times New Roman" w:hAnsi="Times New Roman"/>
          <w:bCs/>
          <w:noProof/>
          <w:sz w:val="28"/>
          <w:szCs w:val="28"/>
        </w:rPr>
      </w:pPr>
      <w:r w:rsidRPr="004B22D0">
        <w:rPr>
          <w:rFonts w:ascii="Times New Roman" w:hAnsi="Times New Roman"/>
          <w:noProof/>
          <w:sz w:val="28"/>
          <w:szCs w:val="28"/>
        </w:rPr>
        <w:t>1. История развития процессного подхода;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2. Подходы к управлению предприятием; </w:t>
      </w:r>
      <w:r w:rsidRPr="004B22D0">
        <w:rPr>
          <w:rFonts w:ascii="Times New Roman" w:hAnsi="Times New Roman"/>
          <w:noProof/>
          <w:sz w:val="28"/>
          <w:szCs w:val="28"/>
        </w:rPr>
        <w:br/>
        <w:t>3. Процессный подход к управлению;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4. Основные понятия, термины и определения;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5. Методы оптимизации бизнес-процессов. </w:t>
      </w:r>
      <w:r w:rsidRPr="004B22D0">
        <w:rPr>
          <w:rFonts w:ascii="Times New Roman" w:hAnsi="Times New Roman"/>
          <w:noProof/>
          <w:sz w:val="28"/>
          <w:szCs w:val="28"/>
        </w:rPr>
        <w:br/>
        <w:t>6. Лучшие практики в области применения процессного подхода в России и за рубежом</w:t>
      </w:r>
      <w:r w:rsidRPr="004B22D0">
        <w:rPr>
          <w:rFonts w:ascii="Times New Roman" w:hAnsi="Times New Roman"/>
          <w:noProof/>
          <w:sz w:val="28"/>
          <w:szCs w:val="28"/>
        </w:rPr>
        <w:br/>
        <w:t>7. Основные цели и задачи применения процессного подхода в подразделениях ОАО «РЖД»</w:t>
      </w:r>
      <w:r w:rsidRPr="004B22D0">
        <w:rPr>
          <w:rFonts w:ascii="Times New Roman" w:hAnsi="Times New Roman"/>
          <w:noProof/>
          <w:sz w:val="28"/>
          <w:szCs w:val="28"/>
        </w:rPr>
        <w:br/>
        <w:t>8. Ключевые признаки процесса, принципы определения входов и выходов процесса, владельцев и потребителей процессов;</w:t>
      </w:r>
      <w:r w:rsidRPr="004B22D0">
        <w:rPr>
          <w:rFonts w:ascii="Times New Roman" w:hAnsi="Times New Roman"/>
          <w:noProof/>
          <w:sz w:val="28"/>
          <w:szCs w:val="28"/>
        </w:rPr>
        <w:br/>
        <w:t>9. Управление рисками и потерями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10. Общие принципы описания процессов;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11. Подготовка к моделированию процессов;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12. Принципы построения процессной модели, </w:t>
      </w:r>
      <w:r w:rsidRPr="004B22D0">
        <w:rPr>
          <w:rFonts w:ascii="Times New Roman" w:hAnsi="Times New Roman"/>
          <w:noProof/>
          <w:sz w:val="28"/>
          <w:szCs w:val="28"/>
        </w:rPr>
        <w:br/>
        <w:t>13. Уровни моделирования процессов;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14. Описание организационной структуры; </w:t>
      </w:r>
      <w:r w:rsidRPr="004B22D0">
        <w:rPr>
          <w:rFonts w:ascii="Times New Roman" w:hAnsi="Times New Roman"/>
          <w:noProof/>
          <w:sz w:val="28"/>
          <w:szCs w:val="28"/>
        </w:rPr>
        <w:br/>
        <w:t>15. Описание и декомпозиция процессов верхнего уровня (построение диаграммы VAD);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16. Описание логики процесса- определение взаимосвязей и границ подпроцессов (построение укрупненной диаграммы EPC); </w:t>
      </w:r>
      <w:r w:rsidRPr="004B22D0">
        <w:rPr>
          <w:rFonts w:ascii="Times New Roman" w:hAnsi="Times New Roman"/>
          <w:noProof/>
          <w:sz w:val="28"/>
          <w:szCs w:val="28"/>
        </w:rPr>
        <w:br/>
        <w:t>17. Описание сценариев процесса</w:t>
      </w:r>
      <w:r w:rsidRPr="004B22D0">
        <w:rPr>
          <w:rFonts w:ascii="Times New Roman" w:hAnsi="Times New Roman"/>
          <w:noProof/>
          <w:sz w:val="28"/>
          <w:szCs w:val="28"/>
        </w:rPr>
        <w:br/>
        <w:t>18. Контроль и совершенствование бизнес-процессов, Индикаторы процесса</w:t>
      </w:r>
      <w:r w:rsidRPr="004B22D0">
        <w:rPr>
          <w:rFonts w:ascii="Times New Roman" w:hAnsi="Times New Roman"/>
          <w:noProof/>
          <w:sz w:val="28"/>
          <w:szCs w:val="28"/>
        </w:rPr>
        <w:br/>
        <w:t>19. Принципы и методы проведения анализа моделей процессов</w:t>
      </w:r>
      <w:r w:rsidRPr="004B22D0">
        <w:rPr>
          <w:rFonts w:ascii="Times New Roman" w:hAnsi="Times New Roman"/>
          <w:noProof/>
          <w:sz w:val="28"/>
          <w:szCs w:val="28"/>
        </w:rPr>
        <w:br/>
        <w:t>20. Общие подходы к совершенствованию процессов, принцип оптимизации процессов из состояния «как есть» в состояние «как должно быть»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21. Критерии принятия управленческих решений в случае отклонения течения процесса от установленных индикаторов </w:t>
      </w:r>
      <w:r w:rsidRPr="004B22D0">
        <w:rPr>
          <w:rFonts w:ascii="Times New Roman" w:hAnsi="Times New Roman"/>
          <w:noProof/>
          <w:sz w:val="28"/>
          <w:szCs w:val="28"/>
        </w:rPr>
        <w:br/>
        <w:t>22. Основы цикла PDCA, принципы его применения в управленческой деятельности</w:t>
      </w:r>
      <w:r w:rsidRPr="004B22D0">
        <w:rPr>
          <w:rFonts w:ascii="Times New Roman" w:hAnsi="Times New Roman"/>
          <w:noProof/>
          <w:sz w:val="28"/>
          <w:szCs w:val="28"/>
        </w:rPr>
        <w:br/>
        <w:t>23. Определение рисков и контрольных процедур на примере описанного бизнес-процесса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24. Цели и критерии аудита системы процессного управления организации. </w:t>
      </w:r>
      <w:r w:rsidRPr="004B22D0">
        <w:rPr>
          <w:rFonts w:ascii="Times New Roman" w:hAnsi="Times New Roman"/>
          <w:noProof/>
          <w:sz w:val="28"/>
          <w:szCs w:val="28"/>
        </w:rPr>
        <w:br/>
      </w:r>
      <w:r w:rsidRPr="004B22D0">
        <w:rPr>
          <w:rFonts w:ascii="Times New Roman" w:hAnsi="Times New Roman"/>
          <w:noProof/>
          <w:sz w:val="28"/>
          <w:szCs w:val="28"/>
        </w:rPr>
        <w:lastRenderedPageBreak/>
        <w:t xml:space="preserve">25. Планирование аудита системы процессного управления организации.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26. Проведение наблюдений в ходе аудита системы процессного управления организации. </w:t>
      </w:r>
      <w:r w:rsidRPr="004B22D0">
        <w:rPr>
          <w:rFonts w:ascii="Times New Roman" w:hAnsi="Times New Roman"/>
          <w:noProof/>
          <w:sz w:val="28"/>
          <w:szCs w:val="28"/>
        </w:rPr>
        <w:br/>
        <w:t>27. Анализ документов и данных, полученных в ходе аудита системы процессного управления организации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28. Анализ информации о работе системы процессного управления.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29. Сравнение фактических результатов работы системы процессного управления с плановыми результатами и показателями.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30. Выявление отклонений в работе системы процессного управления.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31. Выявление причин отклонений в ходе работы системы процессного управления. </w:t>
      </w:r>
      <w:r w:rsidRPr="004B22D0">
        <w:rPr>
          <w:rFonts w:ascii="Times New Roman" w:hAnsi="Times New Roman"/>
          <w:noProof/>
          <w:sz w:val="28"/>
          <w:szCs w:val="28"/>
        </w:rPr>
        <w:br/>
        <w:t xml:space="preserve">32. Разработка предложений и реализация мероприятий по устранению и (или) предупреждению причин отклонений в ходе работы системы процессного управления. </w:t>
      </w:r>
      <w:r w:rsidRPr="004B22D0">
        <w:rPr>
          <w:rFonts w:ascii="Times New Roman" w:hAnsi="Times New Roman"/>
          <w:noProof/>
          <w:sz w:val="28"/>
          <w:szCs w:val="28"/>
        </w:rPr>
        <w:br/>
        <w:t>33. Проверка эффективности устранения и (или) предупреждения причин отклонений в ходе работы системы процессного управления.</w:t>
      </w:r>
    </w:p>
    <w:sectPr w:rsidR="008D2B58" w:rsidRPr="004B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1D9"/>
    <w:multiLevelType w:val="hybridMultilevel"/>
    <w:tmpl w:val="ECE00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907D0"/>
    <w:multiLevelType w:val="hybridMultilevel"/>
    <w:tmpl w:val="BAC6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717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A7294C"/>
    <w:multiLevelType w:val="hybridMultilevel"/>
    <w:tmpl w:val="7D50C9E2"/>
    <w:lvl w:ilvl="0" w:tplc="E1C848B4">
      <w:start w:val="1"/>
      <w:numFmt w:val="decimal"/>
      <w:lvlText w:val="%1.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80D2E"/>
    <w:multiLevelType w:val="hybridMultilevel"/>
    <w:tmpl w:val="2B46AA42"/>
    <w:lvl w:ilvl="0" w:tplc="2A9854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5085776"/>
    <w:multiLevelType w:val="hybridMultilevel"/>
    <w:tmpl w:val="401AA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F5F06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976042C"/>
    <w:multiLevelType w:val="hybridMultilevel"/>
    <w:tmpl w:val="7F102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AA43A3"/>
    <w:multiLevelType w:val="hybridMultilevel"/>
    <w:tmpl w:val="DE7E3992"/>
    <w:lvl w:ilvl="0" w:tplc="5218F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5873410">
    <w:abstractNumId w:val="6"/>
  </w:num>
  <w:num w:numId="2" w16cid:durableId="864755978">
    <w:abstractNumId w:val="2"/>
  </w:num>
  <w:num w:numId="3" w16cid:durableId="1778401304">
    <w:abstractNumId w:val="8"/>
  </w:num>
  <w:num w:numId="4" w16cid:durableId="2118987925">
    <w:abstractNumId w:val="0"/>
  </w:num>
  <w:num w:numId="5" w16cid:durableId="50541704">
    <w:abstractNumId w:val="4"/>
  </w:num>
  <w:num w:numId="6" w16cid:durableId="1753118872">
    <w:abstractNumId w:val="7"/>
  </w:num>
  <w:num w:numId="7" w16cid:durableId="1508860050">
    <w:abstractNumId w:val="1"/>
  </w:num>
  <w:num w:numId="8" w16cid:durableId="627861467">
    <w:abstractNumId w:val="5"/>
  </w:num>
  <w:num w:numId="9" w16cid:durableId="72734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4B"/>
    <w:rsid w:val="00032748"/>
    <w:rsid w:val="002E51D3"/>
    <w:rsid w:val="003445D0"/>
    <w:rsid w:val="003C42FA"/>
    <w:rsid w:val="004B22D0"/>
    <w:rsid w:val="004E3E3B"/>
    <w:rsid w:val="005D09C4"/>
    <w:rsid w:val="0061494B"/>
    <w:rsid w:val="007D7109"/>
    <w:rsid w:val="008D2B58"/>
    <w:rsid w:val="00C154F1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43C4"/>
  <w15:docId w15:val="{F21FB85C-41D7-4139-968B-65DC8AD0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B58"/>
    <w:rPr>
      <w:b/>
      <w:bCs/>
    </w:rPr>
  </w:style>
  <w:style w:type="character" w:styleId="a6">
    <w:name w:val="Hyperlink"/>
    <w:basedOn w:val="a0"/>
    <w:uiPriority w:val="99"/>
    <w:semiHidden/>
    <w:unhideWhenUsed/>
    <w:rsid w:val="008D2B58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4E3E3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E3E3B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Виктория Воробьева</cp:lastModifiedBy>
  <cp:revision>3</cp:revision>
  <dcterms:created xsi:type="dcterms:W3CDTF">2022-05-06T11:24:00Z</dcterms:created>
  <dcterms:modified xsi:type="dcterms:W3CDTF">2022-05-15T14:46:00Z</dcterms:modified>
</cp:coreProperties>
</file>