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6F" w:rsidRDefault="00F4606F" w:rsidP="00F46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F4606F" w:rsidRDefault="00F4606F" w:rsidP="00F460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«Рынок транспортно-логистических услуг</w:t>
      </w:r>
      <w:r>
        <w:rPr>
          <w:rFonts w:ascii="Times New Roman" w:hAnsi="Times New Roman"/>
          <w:b/>
          <w:color w:val="2C2D2E"/>
          <w:lang w:eastAsia="ru-RU"/>
        </w:rPr>
        <w:t>»</w:t>
      </w:r>
    </w:p>
    <w:p w:rsidR="00F4606F" w:rsidRDefault="00F4606F" w:rsidP="006664DC">
      <w:pPr>
        <w:widowControl w:val="0"/>
        <w:spacing w:after="0" w:line="293" w:lineRule="auto"/>
        <w:ind w:firstLine="7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64DC" w:rsidRPr="006664DC" w:rsidRDefault="006664DC" w:rsidP="006664DC">
      <w:pPr>
        <w:widowControl w:val="0"/>
        <w:spacing w:after="0" w:line="293" w:lineRule="auto"/>
        <w:ind w:firstLine="7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вопросов для устного опроса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Каковы мировые тенденции в развитии транспорта?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В чем проблемы развития транспортно-логистической инфраструктуры РФ?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услуга транспорта?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транспортная продукция?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структурно-функциональная характеристика транспорта?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виды транспорта входят в организацию управления транспортной системы?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надежность процесса доставки и ее составляющие?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представляют собой технологические схемы доставки грузов?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представляет собой оценка эффективности доставки товаров?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показатели оценки эффективности (выгоды)?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Каковы критерии эффективности доставки товара: локальные и комплексные?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Каково взаимодействие транспортно-логистических систем?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представляют собой современные технологии перевозок грузов?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такое юнимодальные, мультимодальные и интермодальные перевозки?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Каковы преимущества интер/мультимодальных перевозок?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Какова сфера деятельности оператора интер/мультимодальных перевозок?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представляют собой грузовые и контейнерные терминалы?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представляют собой терминальные перевозки?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проектируют транспортно-технологические схемы доставки и их этапы?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факторы и критерии учитывают при определении сфер рационального применения транспорта?</w:t>
      </w:r>
    </w:p>
    <w:p w:rsidR="006664DC" w:rsidRPr="006664DC" w:rsidRDefault="006664DC" w:rsidP="006664DC">
      <w:pPr>
        <w:widowControl w:val="0"/>
        <w:numPr>
          <w:ilvl w:val="0"/>
          <w:numId w:val="3"/>
        </w:numPr>
        <w:spacing w:after="0" w:line="293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64D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особенности использования различных видов транспорта и их характеристики?</w:t>
      </w:r>
    </w:p>
    <w:p w:rsidR="00C875B2" w:rsidRDefault="00C875B2" w:rsidP="006664DC"/>
    <w:p w:rsidR="00F4606F" w:rsidRDefault="00F4606F" w:rsidP="006664DC"/>
    <w:p w:rsidR="00F4606F" w:rsidRPr="00414125" w:rsidRDefault="00F4606F" w:rsidP="00F4606F">
      <w:pPr>
        <w:widowControl w:val="0"/>
        <w:spacing w:before="120" w:after="0" w:line="240" w:lineRule="atLeast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Примерный перечень вопросов к</w:t>
      </w:r>
      <w:r w:rsidRPr="00414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зачету: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Общая характеристика товарных потоков.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Классификация товарных потоков.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Основные способы перемещения товаров.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Преимущества и недостатки различных видов транспорта.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Классификация транспортных услуг.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Общая характеристика рынка транспортно-логистических услуг.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Особенности развития рынка транспортно-логистических услуг в России.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Особенности развития мирового рынка транспортных услуг.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9.Сущность и задачи транспорта в системе логистических отношений.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Виды транспортных систем.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Транспортные тарифы и условия их применения.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Факторы, влияющие на размер платы за перевозку грузов различными видами транспорта.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Организация и условия перевозок грузов автомобильным транспортом в международном сообщении.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Организация и условия перевозок грузов железнодорожным транспортом.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15.Перевозки грузов авиатранспортом.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Морские грузовые международные перевозки.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Общая характеристика товаросопроводительных документов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Коносамент: практика применения.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Товарно-транспортная накладная (CMR). Практика применения и общий порядок заполнения.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Особенности трубопроводного транспорта.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Роль и значение транспортно-экспедиционного обслуживания при международных перевозках.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Основные принципы формирования процессов перевозки.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Процедура МДП: общая характеристика.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Процедуры транзита в мировой практике.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Понятие транспортного страхования. Страхование ответственности перед таможенными органами при использовании книжки МДП.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Условия транспортировки и термины ИНКОТЕРМС-2020.</w:t>
      </w:r>
    </w:p>
    <w:p w:rsidR="00F4606F" w:rsidRPr="00414125" w:rsidRDefault="00F4606F" w:rsidP="00F4606F">
      <w:pPr>
        <w:widowControl w:val="0"/>
        <w:spacing w:before="120"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Международная правовая основа автомобильных перевозок грузов.</w:t>
      </w:r>
    </w:p>
    <w:p w:rsidR="00F4606F" w:rsidRPr="00414125" w:rsidRDefault="00F4606F" w:rsidP="00F4606F">
      <w:r w:rsidRPr="00414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Таможенные аспекты осуществления автоперевозок</w:t>
      </w:r>
    </w:p>
    <w:p w:rsidR="00F4606F" w:rsidRDefault="00F4606F" w:rsidP="006664DC"/>
    <w:p w:rsidR="00F4606F" w:rsidRPr="005B5A64" w:rsidRDefault="00F4606F" w:rsidP="00F4606F">
      <w:pPr>
        <w:widowControl w:val="0"/>
        <w:spacing w:after="0" w:line="293" w:lineRule="auto"/>
        <w:ind w:firstLine="7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Примерная деловая игра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 №1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В 2010 году транспортное предприятие ООО «ТТТ» стало лидером на региональном рынке транспортных услуг за счет сильного брэнда и общего объёма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перевозок в 35 млн т. За последние 10 лет объём перевозок ежегодно увеличивается на 8 %. В будущем руководство транспортного предприятия намерено превзойти конкурентов по качеству, уровню обслуживания клиентов, санитарному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состоянию и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потребительской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ценности.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Стратегическими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приоритетами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названы:</w:t>
      </w:r>
    </w:p>
    <w:p w:rsidR="00F4606F" w:rsidRPr="005B5A64" w:rsidRDefault="00F4606F" w:rsidP="00F4606F">
      <w:pPr>
        <w:widowControl w:val="0"/>
        <w:numPr>
          <w:ilvl w:val="0"/>
          <w:numId w:val="5"/>
        </w:numPr>
        <w:tabs>
          <w:tab w:val="left" w:pos="12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5B5A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стабильного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роста;</w:t>
      </w:r>
    </w:p>
    <w:p w:rsidR="00F4606F" w:rsidRPr="005B5A64" w:rsidRDefault="00F4606F" w:rsidP="00F4606F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поощрение</w:t>
      </w:r>
      <w:r w:rsidRPr="005B5A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5B5A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услуг;</w:t>
      </w:r>
    </w:p>
    <w:p w:rsidR="00F4606F" w:rsidRPr="005B5A64" w:rsidRDefault="00F4606F" w:rsidP="00F4606F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инновации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маркетинге,</w:t>
      </w:r>
      <w:r w:rsidRPr="005B5A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перевозок.</w:t>
      </w:r>
    </w:p>
    <w:p w:rsidR="00F4606F" w:rsidRPr="005B5A64" w:rsidRDefault="00F4606F" w:rsidP="00F4606F">
      <w:pPr>
        <w:widowControl w:val="0"/>
        <w:numPr>
          <w:ilvl w:val="0"/>
          <w:numId w:val="5"/>
        </w:numPr>
        <w:tabs>
          <w:tab w:val="left" w:pos="12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безукоризненное</w:t>
      </w:r>
      <w:r w:rsidRPr="005B5A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клиентов;</w:t>
      </w:r>
    </w:p>
    <w:p w:rsidR="00F4606F" w:rsidRPr="005B5A64" w:rsidRDefault="00F4606F" w:rsidP="00F4606F">
      <w:pPr>
        <w:widowControl w:val="0"/>
        <w:numPr>
          <w:ilvl w:val="0"/>
          <w:numId w:val="5"/>
        </w:numPr>
        <w:tabs>
          <w:tab w:val="left" w:pos="12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статуса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качественно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работающего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предприятия;</w:t>
      </w:r>
    </w:p>
    <w:p w:rsidR="00F4606F" w:rsidRPr="005B5A64" w:rsidRDefault="00F4606F" w:rsidP="00F4606F">
      <w:pPr>
        <w:widowControl w:val="0"/>
        <w:numPr>
          <w:ilvl w:val="0"/>
          <w:numId w:val="5"/>
        </w:numPr>
        <w:tabs>
          <w:tab w:val="left" w:pos="12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5B5A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5B5A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уровнях;</w:t>
      </w:r>
    </w:p>
    <w:p w:rsidR="00F4606F" w:rsidRPr="005B5A64" w:rsidRDefault="00F4606F" w:rsidP="00F4606F">
      <w:pPr>
        <w:widowControl w:val="0"/>
        <w:numPr>
          <w:ilvl w:val="0"/>
          <w:numId w:val="5"/>
        </w:numPr>
        <w:tabs>
          <w:tab w:val="left" w:pos="12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5B5A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обмена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5B5A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подразделениями;</w:t>
      </w:r>
    </w:p>
    <w:p w:rsidR="00F4606F" w:rsidRPr="005B5A64" w:rsidRDefault="00F4606F" w:rsidP="00F4606F">
      <w:pPr>
        <w:widowControl w:val="0"/>
        <w:numPr>
          <w:ilvl w:val="0"/>
          <w:numId w:val="5"/>
        </w:numPr>
        <w:tabs>
          <w:tab w:val="left" w:pos="120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постоянное</w:t>
      </w:r>
      <w:r w:rsidRPr="005B5A6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5B5A6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Pr="005B5A6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транспортной</w:t>
      </w:r>
      <w:r w:rsidRPr="005B5A6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B5A6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на рынке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B5A6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5B5A6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представленной</w:t>
      </w:r>
      <w:r w:rsidRPr="005B5A6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5B5A6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разработайте</w:t>
      </w:r>
      <w:r w:rsidRPr="005B5A6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стратегию</w:t>
      </w:r>
      <w:r w:rsidRPr="005B5A6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«ТТТ»,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составьте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аналитическую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записку.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Представленная информация позволяет разработать стратегию транспортного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роста,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строительства, стратегия по номенклатуре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lastRenderedPageBreak/>
        <w:t>оказываемых услуг, стратегия органи-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зации перевозок, маркетинговая стратегия, стратегия использования человеческих</w:t>
      </w:r>
      <w:r w:rsidRPr="005B5A6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5B5A6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ответственности.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удобства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сведем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табл.1.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5B5A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5B5A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5B5A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«ТТТ»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796"/>
      </w:tblGrid>
      <w:tr w:rsidR="00F4606F" w:rsidRPr="005B5A64" w:rsidTr="002F582D">
        <w:trPr>
          <w:trHeight w:val="553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Направление</w:t>
            </w:r>
            <w:r w:rsidRPr="005B5A64">
              <w:rPr>
                <w:rFonts w:ascii="Times New Roman" w:hAnsi="Times New Roman" w:cs="Courier New"/>
                <w:noProof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реализации</w:t>
            </w:r>
          </w:p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стратегии</w:t>
            </w:r>
          </w:p>
        </w:tc>
        <w:tc>
          <w:tcPr>
            <w:tcW w:w="7796" w:type="dxa"/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Содержание</w:t>
            </w:r>
            <w:r w:rsidRPr="005B5A64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стратегии</w:t>
            </w:r>
          </w:p>
        </w:tc>
      </w:tr>
      <w:tr w:rsidR="00F4606F" w:rsidRPr="005B5A64" w:rsidTr="002F582D">
        <w:trPr>
          <w:trHeight w:val="2207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1.</w:t>
            </w:r>
            <w:r w:rsidRPr="005B5A64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Стратегия</w:t>
            </w:r>
            <w:r w:rsidRPr="005B5A64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роста</w:t>
            </w:r>
          </w:p>
        </w:tc>
        <w:tc>
          <w:tcPr>
            <w:tcW w:w="7796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разрабатывать ещё не охваченные рынки, открывая ежегодно 20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      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офисов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привлекать потенциальных клиентов, предлагая новые и недорогие услуги, увеличивая качество при сохранении прежних тари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фов;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исследовать возможности инфраструктуры поставщиков транспортного предприятия, их опыт в управлении предприятиями, мар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кетинговой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деятельности</w:t>
            </w:r>
          </w:p>
        </w:tc>
      </w:tr>
      <w:tr w:rsidR="00F4606F" w:rsidRPr="005B5A64" w:rsidTr="002F582D">
        <w:trPr>
          <w:trHeight w:val="2208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2.Стратегия строительст</w:t>
            </w:r>
            <w:r w:rsidRPr="005B5A64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7796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снизить издержки на подготовительные и строительные работы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 счет стандартизации и повышения эффективности проектов, кон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солидированных закупок подвижного состава, оборудования и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строительных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материалов;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повышать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привлекательность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офисов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ятия;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9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место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расположения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офисов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долж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быть</w:t>
            </w:r>
            <w:r w:rsidRPr="00F4606F">
              <w:rPr>
                <w:rFonts w:ascii="Times New Roman" w:hAnsi="Times New Roman" w:cs="Courier New"/>
                <w:noProof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удобно для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клиентов 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выгодно для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предпрития</w:t>
            </w:r>
          </w:p>
        </w:tc>
      </w:tr>
      <w:tr w:rsidR="00F4606F" w:rsidRPr="005B5A64" w:rsidTr="002F582D">
        <w:trPr>
          <w:trHeight w:val="1655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3.Стратегия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номенклатуре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оказываемых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услуг</w:t>
            </w:r>
          </w:p>
        </w:tc>
        <w:tc>
          <w:tcPr>
            <w:tcW w:w="7796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предлагать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определенный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спектр услуг;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улучшать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качество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услуг;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быстро вводить в номенклатуру новые услуги и столь же быстро снимать услуги не завоевавшие популярность, учиться на своих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чужих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ошибках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быстро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переключаться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разработку</w:t>
            </w:r>
            <w:r w:rsidRPr="00F4606F">
              <w:rPr>
                <w:rFonts w:ascii="Times New Roman" w:hAnsi="Times New Roman" w:cs="Courier New"/>
                <w:noProof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новых идей</w:t>
            </w:r>
          </w:p>
        </w:tc>
      </w:tr>
      <w:tr w:rsidR="00F4606F" w:rsidRPr="005B5A64" w:rsidTr="002F582D">
        <w:trPr>
          <w:trHeight w:val="1656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pacing w:val="-58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4.Стратегия организации</w:t>
            </w:r>
            <w:r w:rsidRPr="005B5A64">
              <w:rPr>
                <w:rFonts w:ascii="Times New Roman" w:hAnsi="Times New Roman" w:cs="Courier New"/>
                <w:noProof/>
                <w:spacing w:val="-58"/>
                <w:sz w:val="24"/>
                <w:szCs w:val="24"/>
                <w:lang w:eastAsia="ru-RU"/>
              </w:rPr>
              <w:t xml:space="preserve">            </w:t>
            </w:r>
          </w:p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перевозок</w:t>
            </w:r>
          </w:p>
        </w:tc>
        <w:tc>
          <w:tcPr>
            <w:tcW w:w="7796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строго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придерживаться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стандартов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качества,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санитарного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стояния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помещений,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подвижного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состава,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оборудования;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продолжить внедрение программы «мы работаем для вас»,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предполагающей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установку</w:t>
            </w:r>
            <w:r w:rsidRPr="00F4606F">
              <w:rPr>
                <w:rFonts w:ascii="Times New Roman" w:hAnsi="Times New Roman" w:cs="Courier New"/>
                <w:noProof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более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совершенного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оборудования, компьютеризацию и использование новых методов работы с клиен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тами,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позволяющих быстрее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эффективнее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выполнять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их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заказы</w:t>
            </w:r>
          </w:p>
        </w:tc>
      </w:tr>
      <w:tr w:rsidR="00F4606F" w:rsidRPr="005B5A64" w:rsidTr="002F582D">
        <w:trPr>
          <w:trHeight w:val="1931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5.Маркетинговая</w:t>
            </w:r>
            <w:r w:rsidRPr="005B5A64">
              <w:rPr>
                <w:rFonts w:ascii="Times New Roman" w:hAnsi="Times New Roman" w:cs="Courier New"/>
                <w:noProof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</w:t>
            </w:r>
            <w:r w:rsidRPr="005B5A64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гия</w:t>
            </w:r>
          </w:p>
        </w:tc>
        <w:tc>
          <w:tcPr>
            <w:tcW w:w="7796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пропагандировать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имидж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</w:t>
            </w:r>
            <w:r w:rsidRPr="00F4606F">
              <w:rPr>
                <w:rFonts w:ascii="Times New Roman" w:hAnsi="Times New Roman" w:cs="Courier New"/>
                <w:noProof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как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обра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зец качества и высокой потребительской ценности с помощью активной рекламной кампании в средствах массовой информации и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специальных мероприятий; продвижение финансируется за счет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прибыли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 предприятия;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использовать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специальные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мероприятия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привлечению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тенциальных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удержанию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постоянных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клиентов</w:t>
            </w:r>
          </w:p>
        </w:tc>
      </w:tr>
      <w:tr w:rsidR="00F4606F" w:rsidRPr="005B5A64" w:rsidTr="002F582D">
        <w:trPr>
          <w:trHeight w:val="2760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lastRenderedPageBreak/>
              <w:t>6.Стратегия использования человеческих ресур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сов</w:t>
            </w:r>
          </w:p>
        </w:tc>
        <w:tc>
          <w:tcPr>
            <w:tcW w:w="7796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назначать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одинаковые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недискриминационные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ставки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заработ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ной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платы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всех</w:t>
            </w:r>
            <w:r w:rsidRPr="00F4606F">
              <w:rPr>
                <w:rFonts w:ascii="Times New Roman" w:hAnsi="Times New Roman" w:cs="Courier New"/>
                <w:noProof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офисах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транспортного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предприятия;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обучать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персонал;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поощрять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индивидуальные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коллективные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успехи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работе;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создавать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возможности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карьерного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роста;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нанимать на работу трудолюбивых и вежливых служащих, обучать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их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качественному</w:t>
            </w:r>
            <w:r w:rsidRPr="00F4606F">
              <w:rPr>
                <w:rFonts w:ascii="Times New Roman" w:hAnsi="Times New Roman" w:cs="Courier New"/>
                <w:noProof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обслуживанию,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быстро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повышать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службе</w:t>
            </w:r>
            <w:r w:rsidRPr="00F4606F">
              <w:rPr>
                <w:rFonts w:ascii="Times New Roman" w:hAnsi="Times New Roman" w:cs="Courier New"/>
                <w:noProof/>
                <w:spacing w:val="-58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перспективных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работников;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способствовать обмену передовым опытом между сотрудника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ми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 офисами транспортного предприятия.</w:t>
            </w:r>
          </w:p>
        </w:tc>
      </w:tr>
      <w:tr w:rsidR="00F4606F" w:rsidRPr="005B5A64" w:rsidTr="002F582D">
        <w:trPr>
          <w:trHeight w:val="551"/>
        </w:trPr>
        <w:tc>
          <w:tcPr>
            <w:tcW w:w="2978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7.</w:t>
            </w:r>
            <w:r w:rsidRPr="005B5A64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Стратегия</w:t>
            </w:r>
          </w:p>
          <w:p w:rsidR="00F4606F" w:rsidRPr="005B5A64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социальной ответственности</w:t>
            </w:r>
          </w:p>
        </w:tc>
        <w:tc>
          <w:tcPr>
            <w:tcW w:w="7796" w:type="dxa"/>
          </w:tcPr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активно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участвовать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общественной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деятельности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региона: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поддерживать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местные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благотворительные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учреждения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социальные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проекты;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5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поддерживать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диверсификацию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занятости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и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добровольную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щественную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деятельность;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30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оказывать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поддержку</w:t>
            </w:r>
            <w:r w:rsidRPr="00F4606F">
              <w:rPr>
                <w:rFonts w:ascii="Times New Roman" w:hAnsi="Times New Roman" w:cs="Courier New"/>
                <w:noProof/>
                <w:spacing w:val="-9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образованию за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счет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назначения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специ</w:t>
            </w:r>
            <w:r w:rsidRPr="00F4606F">
              <w:rPr>
                <w:rFonts w:ascii="Times New Roman" w:hAnsi="Times New Roman" w:cs="Courier New"/>
                <w:noProof/>
                <w:spacing w:val="-5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альных стипендий,</w:t>
            </w:r>
            <w:r w:rsidRPr="00F4606F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премий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для преподавателей;</w:t>
            </w:r>
          </w:p>
          <w:p w:rsidR="00F4606F" w:rsidRPr="00F4606F" w:rsidRDefault="00F4606F" w:rsidP="002F582D">
            <w:pPr>
              <w:ind w:left="284" w:right="284"/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−</w:t>
            </w:r>
            <w:r w:rsidRPr="00F4606F">
              <w:rPr>
                <w:rFonts w:ascii="Times New Roman" w:hAnsi="Times New Roman" w:cs="Courier New"/>
                <w:noProof/>
                <w:spacing w:val="2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внедрять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программы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защите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окружающей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среды</w:t>
            </w:r>
          </w:p>
        </w:tc>
      </w:tr>
    </w:tbl>
    <w:p w:rsidR="00F4606F" w:rsidRPr="005B5A64" w:rsidRDefault="00F4606F" w:rsidP="00F4606F">
      <w:pPr>
        <w:widowControl w:val="0"/>
        <w:spacing w:before="120" w:after="0" w:line="240" w:lineRule="atLeast"/>
        <w:ind w:firstLine="708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F4606F" w:rsidRPr="005B5A64" w:rsidRDefault="00F4606F" w:rsidP="00F4606F">
      <w:pPr>
        <w:widowControl w:val="0"/>
        <w:spacing w:before="120" w:after="0" w:line="240" w:lineRule="atLeast"/>
        <w:ind w:firstLine="708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5B5A6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Задача №2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Определить,</w:t>
      </w:r>
      <w:r w:rsidRPr="005B5A6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какую</w:t>
      </w:r>
      <w:r w:rsidRPr="005B5A6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воспроизводственную</w:t>
      </w:r>
      <w:r w:rsidRPr="005B5A6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политику</w:t>
      </w:r>
      <w:r w:rsidRPr="005B5A6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5B5A6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5B5A6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автотранспортное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предприятие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B5A6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исходным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данным,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представленным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табл.</w:t>
      </w:r>
      <w:r w:rsidRPr="005B5A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Исходные</w:t>
      </w:r>
      <w:r w:rsidRPr="005B5A6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(млн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)                                                                                             Таблица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1</w:t>
      </w:r>
    </w:p>
    <w:tbl>
      <w:tblPr>
        <w:tblStyle w:val="TableNormal1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760"/>
        <w:gridCol w:w="763"/>
        <w:gridCol w:w="760"/>
        <w:gridCol w:w="762"/>
        <w:gridCol w:w="760"/>
        <w:gridCol w:w="762"/>
        <w:gridCol w:w="760"/>
        <w:gridCol w:w="763"/>
        <w:gridCol w:w="763"/>
      </w:tblGrid>
      <w:tr w:rsidR="00F4606F" w:rsidRPr="005B5A64" w:rsidTr="002F582D">
        <w:trPr>
          <w:trHeight w:val="453"/>
        </w:trPr>
        <w:tc>
          <w:tcPr>
            <w:tcW w:w="3178" w:type="dxa"/>
            <w:vMerge w:val="restart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83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– 1</w:t>
            </w:r>
          </w:p>
        </w:tc>
        <w:tc>
          <w:tcPr>
            <w:tcW w:w="1522" w:type="dxa"/>
            <w:gridSpan w:val="2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АТ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П</w:t>
            </w:r>
            <w:r w:rsidRPr="005B5A64">
              <w:rPr>
                <w:rFonts w:ascii="Times New Roman" w:hAnsi="Times New Roman" w:cs="Courier New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– 2</w:t>
            </w:r>
          </w:p>
        </w:tc>
        <w:tc>
          <w:tcPr>
            <w:tcW w:w="2286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– 3</w:t>
            </w:r>
          </w:p>
        </w:tc>
      </w:tr>
      <w:tr w:rsidR="00F4606F" w:rsidRPr="005B5A64" w:rsidTr="002F582D">
        <w:trPr>
          <w:trHeight w:val="455"/>
        </w:trPr>
        <w:tc>
          <w:tcPr>
            <w:tcW w:w="3178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2010</w:t>
            </w:r>
          </w:p>
        </w:tc>
      </w:tr>
      <w:tr w:rsidR="00F4606F" w:rsidRPr="005B5A64" w:rsidTr="002F582D">
        <w:trPr>
          <w:trHeight w:val="453"/>
        </w:trPr>
        <w:tc>
          <w:tcPr>
            <w:tcW w:w="3178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1. Нераспределенная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прибыль, в т. ч. направляемая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развитие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производства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1,8</w:t>
            </w:r>
          </w:p>
        </w:tc>
      </w:tr>
      <w:tr w:rsidR="00F4606F" w:rsidRPr="005B5A64" w:rsidTr="002F582D">
        <w:trPr>
          <w:trHeight w:val="825"/>
        </w:trPr>
        <w:tc>
          <w:tcPr>
            <w:tcW w:w="3178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1,6</w:t>
            </w:r>
          </w:p>
        </w:tc>
      </w:tr>
      <w:tr w:rsidR="00F4606F" w:rsidRPr="005B5A64" w:rsidTr="002F582D">
        <w:trPr>
          <w:trHeight w:val="453"/>
        </w:trPr>
        <w:tc>
          <w:tcPr>
            <w:tcW w:w="3178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2.Амортизационные отчисления, в т. ч. использованные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по</w:t>
            </w:r>
            <w:r w:rsidRPr="00F4606F">
              <w:rPr>
                <w:rFonts w:ascii="Times New Roman" w:hAnsi="Times New Roman" w:cs="Courier New"/>
                <w:noProof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своему</w:t>
            </w:r>
          </w:p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функциональному назначению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0,3</w:t>
            </w:r>
          </w:p>
        </w:tc>
      </w:tr>
      <w:tr w:rsidR="00F4606F" w:rsidRPr="005B5A64" w:rsidTr="002F582D">
        <w:trPr>
          <w:trHeight w:val="1146"/>
        </w:trPr>
        <w:tc>
          <w:tcPr>
            <w:tcW w:w="3178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both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62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60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6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sz w:val="24"/>
                <w:szCs w:val="24"/>
                <w:lang w:eastAsia="ru-RU"/>
              </w:rPr>
              <w:t>0,3</w:t>
            </w:r>
          </w:p>
        </w:tc>
      </w:tr>
    </w:tbl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1. Определение структуры средств, направляемых на осуществление воспроизводственной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анализируемых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автотранспортных</w:t>
      </w:r>
      <w:r w:rsidRPr="005B5A6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(табл.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2).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4606F" w:rsidRPr="005B5A64" w:rsidSect="005B5A64">
          <w:headerReference w:type="default" r:id="rId6"/>
          <w:pgSz w:w="11910" w:h="16840"/>
          <w:pgMar w:top="1040" w:right="620" w:bottom="1080" w:left="920" w:header="0" w:footer="877" w:gutter="0"/>
          <w:cols w:space="720"/>
        </w:sectPr>
      </w:pP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</w:t>
      </w:r>
      <w:r w:rsidRPr="005B5A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sz w:val="24"/>
          <w:szCs w:val="24"/>
        </w:rPr>
        <w:t>Структура средств, направляемых на осуществление воспроизводственной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анализируемых автотранспортных</w:t>
      </w:r>
      <w:r w:rsidRPr="005B5A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предприятий</w:t>
      </w:r>
      <w:r w:rsidRPr="005B5A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sz w:val="24"/>
          <w:szCs w:val="24"/>
        </w:rPr>
        <w:t>(%)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675"/>
        <w:gridCol w:w="675"/>
        <w:gridCol w:w="673"/>
        <w:gridCol w:w="746"/>
        <w:gridCol w:w="676"/>
        <w:gridCol w:w="676"/>
        <w:gridCol w:w="676"/>
        <w:gridCol w:w="676"/>
        <w:gridCol w:w="676"/>
      </w:tblGrid>
      <w:tr w:rsidR="00F4606F" w:rsidRPr="005B5A64" w:rsidTr="002F582D">
        <w:trPr>
          <w:trHeight w:val="453"/>
          <w:jc w:val="center"/>
        </w:trPr>
        <w:tc>
          <w:tcPr>
            <w:tcW w:w="3901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</w:p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023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– 1</w:t>
            </w:r>
          </w:p>
        </w:tc>
        <w:tc>
          <w:tcPr>
            <w:tcW w:w="2098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– 2</w:t>
            </w:r>
          </w:p>
        </w:tc>
        <w:tc>
          <w:tcPr>
            <w:tcW w:w="2028" w:type="dxa"/>
            <w:gridSpan w:val="3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АТП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– 3</w:t>
            </w:r>
          </w:p>
        </w:tc>
      </w:tr>
      <w:tr w:rsidR="00F4606F" w:rsidRPr="005B5A64" w:rsidTr="002F582D">
        <w:trPr>
          <w:trHeight w:val="455"/>
          <w:jc w:val="center"/>
        </w:trPr>
        <w:tc>
          <w:tcPr>
            <w:tcW w:w="3901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74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2010</w:t>
            </w:r>
          </w:p>
        </w:tc>
      </w:tr>
      <w:tr w:rsidR="00F4606F" w:rsidRPr="005B5A64" w:rsidTr="002F582D">
        <w:trPr>
          <w:trHeight w:val="453"/>
          <w:jc w:val="center"/>
        </w:trPr>
        <w:tc>
          <w:tcPr>
            <w:tcW w:w="3901" w:type="dxa"/>
            <w:vMerge w:val="restart"/>
            <w:tcBorders>
              <w:left w:val="single" w:sz="6" w:space="0" w:color="000000"/>
            </w:tcBorders>
          </w:tcPr>
          <w:p w:rsidR="00F4606F" w:rsidRPr="00F4606F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1.</w:t>
            </w:r>
            <w:r w:rsidRPr="00F4606F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Нераспределенная</w:t>
            </w:r>
            <w:r w:rsidRPr="00F4606F">
              <w:rPr>
                <w:rFonts w:ascii="Times New Roman" w:hAnsi="Times New Roman" w:cs="Courier New"/>
                <w:noProof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прибыль,</w:t>
            </w:r>
          </w:p>
          <w:p w:rsidR="00F4606F" w:rsidRPr="00F4606F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в т. ч. направляемая на разви</w:t>
            </w:r>
            <w:r w:rsidRPr="00F4606F">
              <w:rPr>
                <w:rFonts w:ascii="Times New Roman" w:hAnsi="Times New Roman" w:cs="Courier New"/>
                <w:noProof/>
                <w:spacing w:val="-67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тие</w:t>
            </w:r>
            <w:r w:rsidRPr="00F4606F">
              <w:rPr>
                <w:rFonts w:ascii="Times New Roman" w:hAnsi="Times New Roman" w:cs="Courier New"/>
                <w:noProof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4606F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производства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74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91,4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85,7</w:t>
            </w:r>
          </w:p>
        </w:tc>
      </w:tr>
      <w:tr w:rsidR="00F4606F" w:rsidRPr="005B5A64" w:rsidTr="002F582D">
        <w:trPr>
          <w:trHeight w:val="501"/>
          <w:jc w:val="center"/>
        </w:trPr>
        <w:tc>
          <w:tcPr>
            <w:tcW w:w="3901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4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76,2</w:t>
            </w:r>
          </w:p>
        </w:tc>
      </w:tr>
      <w:tr w:rsidR="00F4606F" w:rsidRPr="005B5A64" w:rsidTr="002F582D">
        <w:trPr>
          <w:trHeight w:val="455"/>
          <w:jc w:val="center"/>
        </w:trPr>
        <w:tc>
          <w:tcPr>
            <w:tcW w:w="3901" w:type="dxa"/>
            <w:vMerge w:val="restart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2. Амортизационные отчисле</w:t>
            </w:r>
            <w:r w:rsidRPr="005B5A64">
              <w:rPr>
                <w:rFonts w:ascii="Times New Roman" w:hAnsi="Times New Roman" w:cs="Courier New"/>
                <w:noProof/>
                <w:spacing w:val="-67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ния, в т. ч. использованные по</w:t>
            </w:r>
            <w:r w:rsidRPr="005B5A64">
              <w:rPr>
                <w:rFonts w:ascii="Times New Roman" w:hAnsi="Times New Roman" w:cs="Courier New"/>
                <w:noProof/>
                <w:spacing w:val="-68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своему</w:t>
            </w:r>
            <w:r w:rsidRPr="005B5A64">
              <w:rPr>
                <w:rFonts w:ascii="Times New Roman" w:hAnsi="Times New Roman" w:cs="Courier New"/>
                <w:noProof/>
                <w:spacing w:val="-4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функциональному</w:t>
            </w:r>
            <w:r w:rsidRPr="005B5A64">
              <w:rPr>
                <w:rFonts w:ascii="Times New Roman" w:hAnsi="Times New Roman" w:cs="Courier New"/>
                <w:noProof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val="ru-RU" w:eastAsia="ru-RU"/>
              </w:rPr>
              <w:t>назначению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4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14,3</w:t>
            </w:r>
          </w:p>
        </w:tc>
      </w:tr>
      <w:tr w:rsidR="00F4606F" w:rsidRPr="005B5A64" w:rsidTr="002F582D">
        <w:trPr>
          <w:trHeight w:val="823"/>
          <w:jc w:val="center"/>
        </w:trPr>
        <w:tc>
          <w:tcPr>
            <w:tcW w:w="3901" w:type="dxa"/>
            <w:vMerge/>
            <w:tcBorders>
              <w:top w:val="nil"/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74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14,3</w:t>
            </w:r>
          </w:p>
        </w:tc>
      </w:tr>
      <w:tr w:rsidR="00F4606F" w:rsidRPr="005B5A64" w:rsidTr="002F582D">
        <w:trPr>
          <w:trHeight w:val="455"/>
          <w:jc w:val="center"/>
        </w:trPr>
        <w:tc>
          <w:tcPr>
            <w:tcW w:w="3901" w:type="dxa"/>
            <w:tcBorders>
              <w:left w:val="single" w:sz="6" w:space="0" w:color="000000"/>
            </w:tcBorders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5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3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6" w:type="dxa"/>
          </w:tcPr>
          <w:p w:rsidR="00F4606F" w:rsidRPr="005B5A64" w:rsidRDefault="00F4606F" w:rsidP="002F582D">
            <w:pPr>
              <w:jc w:val="center"/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</w:pPr>
            <w:r w:rsidRPr="005B5A64">
              <w:rPr>
                <w:rFonts w:ascii="Times New Roman" w:hAnsi="Times New Roman" w:cs="Courier New"/>
                <w:noProof/>
                <w:sz w:val="24"/>
                <w:szCs w:val="24"/>
                <w:lang w:eastAsia="ru-RU"/>
              </w:rPr>
              <w:t>100</w:t>
            </w:r>
          </w:p>
        </w:tc>
      </w:tr>
    </w:tbl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Анализ данных табл. 2 позволяет заключить, что на АТП-1 и АТП-2 воспроизводственная политика ориентирована на использование амортизационных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отчислений. Так, на АТП-1 их доля составляет в среднем за три последних года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81,3 %, а на АТП-2 – 86,9 %. На АТП-3, напротив, руководство ориентируется на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использование нераспределенной прибыли, её величина в среднем за последние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три года составила 91,1 %. Анализ данных табл. 5.2 также позволяет заключить,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что на АТП-1 амортизационные отчисления в полном объёме направляются на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развитие</w:t>
      </w:r>
      <w:r w:rsidRPr="005B5A64">
        <w:rPr>
          <w:rFonts w:ascii="Times New Roman" w:eastAsia="Times New Roman" w:hAnsi="Times New Roman" w:cs="Times New Roman"/>
          <w:noProof/>
          <w:spacing w:val="2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производства,</w:t>
      </w:r>
      <w:r w:rsidRPr="005B5A64">
        <w:rPr>
          <w:rFonts w:ascii="Times New Roman" w:eastAsia="Times New Roman" w:hAnsi="Times New Roman" w:cs="Times New Roman"/>
          <w:noProof/>
          <w:spacing w:val="25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в</w:t>
      </w:r>
      <w:r w:rsidRPr="005B5A64">
        <w:rPr>
          <w:rFonts w:ascii="Times New Roman" w:eastAsia="Times New Roman" w:hAnsi="Times New Roman" w:cs="Times New Roman"/>
          <w:noProof/>
          <w:spacing w:val="2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то</w:t>
      </w:r>
      <w:r w:rsidRPr="005B5A64">
        <w:rPr>
          <w:rFonts w:ascii="Times New Roman" w:eastAsia="Times New Roman" w:hAnsi="Times New Roman" w:cs="Times New Roman"/>
          <w:noProof/>
          <w:spacing w:val="2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время</w:t>
      </w:r>
      <w:r w:rsidRPr="005B5A64">
        <w:rPr>
          <w:rFonts w:ascii="Times New Roman" w:eastAsia="Times New Roman" w:hAnsi="Times New Roman" w:cs="Times New Roman"/>
          <w:noProof/>
          <w:spacing w:val="2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как</w:t>
      </w:r>
      <w:r w:rsidRPr="005B5A64">
        <w:rPr>
          <w:rFonts w:ascii="Times New Roman" w:eastAsia="Times New Roman" w:hAnsi="Times New Roman" w:cs="Times New Roman"/>
          <w:noProof/>
          <w:spacing w:val="2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нераспределенная</w:t>
      </w:r>
      <w:r w:rsidRPr="005B5A64">
        <w:rPr>
          <w:rFonts w:ascii="Times New Roman" w:eastAsia="Times New Roman" w:hAnsi="Times New Roman" w:cs="Times New Roman"/>
          <w:noProof/>
          <w:spacing w:val="2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прибыль</w:t>
      </w:r>
      <w:r w:rsidRPr="005B5A64">
        <w:rPr>
          <w:rFonts w:ascii="Times New Roman" w:eastAsia="Times New Roman" w:hAnsi="Times New Roman" w:cs="Times New Roman"/>
          <w:noProof/>
          <w:spacing w:val="3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–</w:t>
      </w:r>
      <w:r w:rsidRPr="005B5A64">
        <w:rPr>
          <w:rFonts w:ascii="Times New Roman" w:eastAsia="Times New Roman" w:hAnsi="Times New Roman" w:cs="Times New Roman"/>
          <w:noProof/>
          <w:spacing w:val="27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в</w:t>
      </w:r>
      <w:r w:rsidRPr="005B5A64">
        <w:rPr>
          <w:rFonts w:ascii="Times New Roman" w:eastAsia="Times New Roman" w:hAnsi="Times New Roman" w:cs="Times New Roman"/>
          <w:noProof/>
          <w:spacing w:val="26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объёме</w:t>
      </w:r>
      <w:r w:rsidRPr="005B5A64">
        <w:rPr>
          <w:rFonts w:ascii="Times New Roman" w:eastAsia="Times New Roman" w:hAnsi="Times New Roman" w:cs="Times New Roman"/>
          <w:noProof/>
          <w:spacing w:val="23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70 %. </w:t>
      </w:r>
    </w:p>
    <w:p w:rsidR="00F4606F" w:rsidRPr="005B5A64" w:rsidRDefault="00F4606F" w:rsidP="00F460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На АТП-2 примерно 37 % амортизационных отчислений направляются на развитие производства, остальные – резервируются, и только 11,3 % нераспределен-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ной прибыли направляются на развитие производства. На АТП-3 амортизационные отчисления в полном объёме направляются на развитие производства, нераспределенная прибыль составляет примерно 65 %. Проведенный анализ позволяет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сделать вывод, что на АТП-2 проводится непродуманная воспроизводственная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политика, на АТП-1 и АТП-2 руководство, напротив, осуществляет грамотное</w:t>
      </w:r>
      <w:r w:rsidRPr="005B5A64">
        <w:rPr>
          <w:rFonts w:ascii="Times New Roman" w:eastAsia="Times New Roman" w:hAnsi="Times New Roman" w:cs="Times New Roman"/>
          <w:noProof/>
          <w:spacing w:val="1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управление</w:t>
      </w:r>
      <w:r w:rsidRPr="005B5A64">
        <w:rPr>
          <w:rFonts w:ascii="Times New Roman" w:eastAsia="Times New Roman" w:hAnsi="Times New Roman" w:cs="Times New Roman"/>
          <w:noProof/>
          <w:spacing w:val="-4"/>
          <w:sz w:val="24"/>
          <w:szCs w:val="24"/>
        </w:rPr>
        <w:t xml:space="preserve"> </w:t>
      </w:r>
      <w:r w:rsidRPr="005B5A64">
        <w:rPr>
          <w:rFonts w:ascii="Times New Roman" w:eastAsia="Times New Roman" w:hAnsi="Times New Roman" w:cs="Times New Roman"/>
          <w:noProof/>
          <w:sz w:val="24"/>
          <w:szCs w:val="24"/>
        </w:rPr>
        <w:t>развитием производства.</w:t>
      </w:r>
    </w:p>
    <w:p w:rsidR="00F4606F" w:rsidRPr="005B5A64" w:rsidRDefault="00F4606F" w:rsidP="00F4606F"/>
    <w:p w:rsidR="00F4606F" w:rsidRPr="00B71805" w:rsidRDefault="00F4606F" w:rsidP="00F4606F">
      <w:pPr>
        <w:widowControl w:val="0"/>
        <w:spacing w:after="0" w:line="293" w:lineRule="auto"/>
        <w:ind w:firstLine="7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718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Примерный перечень тестовых вопросов.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1. Последовательность операций, выполняемых с целью перемещения объекта транспортировки к месту назначения, — это: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экспедиционная услуга;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экспедиционная деятельность;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процесс доставки грузов.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2. Какие из перечисленных видов услуг не являются экспедиционными: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транспортировка;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сопровождение в пути следования;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организация приема и сдачи груза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3. Технологическая форма взаимодействия направлена: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lastRenderedPageBreak/>
        <w:t>а) па создание единой унифицированной материально-технической базы;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обеспечение непрерывности процесса доставки посредством согласования действий и графиков работы участников на всех этапах перевозки;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рациональное использование и распределение ресурсов между видами транспорта.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4. Техническая форма взаимодействия направлена: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па создание единой унифицированной материально-технической базы;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обеспечение непрерывности процесса доставки посредством согласования действий и графиков работы участников на всех этапах перевозки;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рациональное использование и распределение ресурсов между видами транспорта.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5. Экономическая форма взаимодействия направлена: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на создание единой унифицированной материально-технической базы;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обеспечение непрерывности процесса доставки посредством согласования действий и графиков работы участников на всех этапах перевозки;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рациональное использование и распределение ресурсов между видами транспорта.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6. В чем заключается различие между традиционной и логистической моделями системы экспедирования: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в количестве экспедиторов;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в наличии обратной связи;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в организации доставки под единым контролем экспедитора?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7. Создание единой информационной системы обработки заказов относится к группе... методов координации работы участников рынка транспортных услуг: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организационно-управленческих;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планово-экономических;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правовых.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8. Разработка общих принципов ценообразования относится к группе методов координации работы участников рынка транспортных услуг: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организационно-управленческих;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планово-экономических;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правовых.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9. Перевозка грузов, которая осуществляется двумя и более видами транспорта по определенным маршрутам под контролем единого диспетчерского центра, называется: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амодальная;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унимодальная;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lastRenderedPageBreak/>
        <w:t>в) интермодальная.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10. Деятельность по обеспечению доставки грузов и выполнению вспомогательных работ, включая завоз и вывоз их с транспортных узлов, мест производства или хранения, а также непосредственно транспортировку грузов, называется: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экспедиционной;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транспортной;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транспортно-экспедиционной.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11. Согласно традиционной модели системы экспедирования экспедитор по своей сути является: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централизованным координатором действий участников доставки грузов;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поставщиком транспортных услуг;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посредником в оказании транспортных услуг.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12. Согласно логистической модели системы экспедирования экспедитор но своей сути является: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централизованным координатором действий участников доставки грузов;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поставщиком транспортных услуг;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посредником в оказании транспортных услуг.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13. Экспедитор, который выполняет, в первую очередь, функции координатора доставки, аккумулируя все информационные потоки и распределяя ресурсы остальных участников процесса, является: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экспедитором-курьсром;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экспедитором-агентом;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оператором смешанной перевозки (ОСПГ).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14. NVOCC-операторы относятся: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к экспедиторам смешанного сообщения, эксплуатирующим суда;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экспедиторам смешанного сообщения, не эксплуатирующим какие-либо транспортные средства;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специально ориентируемым экспедиторам смешанной перевозки.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15. Формы взаимодействия видов транспорта, находящиеся под влиянием экспедитора: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организационная, диспетчерская, экономическая;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экономическая, законодательная, техническая;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технологическая, техническая, экономическая.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16. Понятие «экспедирование» в переводе с латинского языка означает: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«приведение в порядок»;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«управление потоками»;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«доставка грузов».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lastRenderedPageBreak/>
        <w:t>17. Первоначально экспедиционные операции выполнялись: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специально созданными государственными службами;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профессиональными наемными работниками;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грузовладельцами, как правило, купцами с собственными транспортными средствами.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18. Первый конгресс экспедиторов в Лейпциге и Берлинская конференция, в ходе которых были заложены основы будущей системы мировой торговли, состоялись: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в 1880-е гг;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в 1980-е гг.;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в 1990-е гг.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19. Этап становления транспортно-экспедиционной деятельности в России начался: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с 1900 г.;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с 1919 г.;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с 1950 г.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20. Какой этап эволюции транспортно-экспедиционной деятельности характеризуется появлением ТЭП, выполняющих международные перевозки грузов и способные координировать работу различных видов транспорта: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этап становления;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этап развития;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этап интеграции?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21. Основные определения и общие требования к договору транспортной экспедиции были установлены: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в 1979 г. типовым договором но экспедиции грузов;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в 1996 г. гл. 41 ГК РФ «Транспортная экспедиция»;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в 2003 г. Федеральным законом от 30 июня 2003 г. № 87-ФЗ «О транспортноэкспедиционной деятельности».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22. Преобладание экспсдиторов-агснтов, нс имеющих собственных транспортных средств, в структуре отечественного ТЭО является отличительной чертой периода, относящегося: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к 1950-м гг.;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к 1970-м гг.;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к 1990-м гг.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23. В период 1950-х — 1980-х гг. отечественные ТЭП характеризуются: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низкой эффективностью деятельности в результате децентрализованного управления ТЭО;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 xml:space="preserve">б) высокой эффективностью деятельности в результате централизованного </w:t>
      </w:r>
      <w:r w:rsidRPr="00237909">
        <w:rPr>
          <w:rFonts w:ascii="Times New Roman" w:eastAsia="Times New Roman" w:hAnsi="Times New Roman" w:cs="Times New Roman"/>
          <w:sz w:val="26"/>
          <w:szCs w:val="26"/>
        </w:rPr>
        <w:lastRenderedPageBreak/>
        <w:t>управления ТЭО;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высокой эффективностью деятельности в результате согласования стратегии развития с иностранными партнерами.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24. На современном этапе развития транспортно-экспедиционной деятельности под влиянием тенденций развития мирового рынка транспортно-экспедиционных услуг происходит: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разделение крупных ТЭП, альянсов на более мелкие, но более простые в управление предприятия;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сокращение аутсорсинга транспортно-логистических услуг и выполнение экспедиционных операций производителями товаров;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трансформации традиционных типов ТЭП в операторов смешанных перевозок грузов, 3/4/5РL-oiюраторов.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25. В структуре российского транспортно-логистического рынка по видам услуг экспедиционные услуги составляют: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23%;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15%;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6%.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26. С увеличением масштабов производства и эволюцией форм пространственно- экономической организации хозяйствования количество полномочий и функций экспедиторов: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остается неизменным;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растет;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снижается.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27. Транспортно-экспедиционная деятельность для новых участников рынка считается: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непривлекательной в связи с высокими барьерами входа на рынок и значительными первоначальными вложениями;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привлекательной в связи с потенциально высоким доходом и низкими барьерами входа на рынок;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непривлекательной в связи с жестким контролем данного вида деятельности со стороны государства.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28. Аббревиатурой Европейской ассоциации экспедирования, транспорта, логистики и таможенных услуг является: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CLECAT;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FIATA;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C1FFA.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29. Координация деятельности ТЭП различных стран осуществляется посредством: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lastRenderedPageBreak/>
        <w:t>а) создания механизма добровольной сертификации при вступлении в сообщества экспедиторов;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обязательного лицензирования деятельности ТЭП;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унифицированного нормативно-правового регулирования транспортно-экспедиторской деятельности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30. В настоящее время интересы отечественных экспедиторов представляет: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Российская ассоциация международных экспедиторов (РАМЭ);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Ассоциация российских экспедиторов (АРЭ);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Российское представительство Международной федерации экспедиторских ассоциаций.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31. К экспедиционному обслуживанию относят: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выбор оптимального маршрута;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погрузку и разгрузку грузов;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оформление сопроводительной документации.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32. К организационному обслуживанию в экспедировании относят: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координацию действий участников транспортного процесса;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прием и сдачу груза;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сортировку груза.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33. Маркировка груза относится: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к складскому обслуживанию;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к транспортному обслуживанию;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к организационному обслуживанию.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34. Уведомление о вывозе груза со склада относится: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к складскому обслуживанию;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к информационному обслуживанию;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к консультационному обслуживанию.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35. По виду потребления транспортно-экспедиционные услуги подразделяют: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на перевозочные и неперевозочные;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внутренние и внешние;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транспортные и информационно-консультационные.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36. Определение сроков и объемов поставки относится к... услугам: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экспедиционным;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организационным;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логистическим.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37. Прогнозирование конъюнктуры транспортно-экспедиционного рынка относится к... услугам: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экспедиционным;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lastRenderedPageBreak/>
        <w:t>б) коммерческим;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консультационно-информационным.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38. Графическое изображение последовательности и времени выполнения операций по доставке конкретного груза называется: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технологическая схема;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технологическая карта;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технология обслуживания.</w:t>
      </w:r>
    </w:p>
    <w:p w:rsidR="00F4606F" w:rsidRPr="00237909" w:rsidRDefault="00F4606F" w:rsidP="00F4606F">
      <w:pPr>
        <w:widowControl w:val="0"/>
        <w:spacing w:after="0" w:line="293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39. К общим функциям экспедитора относятся: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а) координация, целеполагание, распределение;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б) планирование, координация, сопровождение;</w:t>
      </w:r>
    </w:p>
    <w:p w:rsidR="00F4606F" w:rsidRPr="00237909" w:rsidRDefault="00F4606F" w:rsidP="00F4606F">
      <w:pPr>
        <w:widowControl w:val="0"/>
        <w:spacing w:after="0" w:line="293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7909">
        <w:rPr>
          <w:rFonts w:ascii="Times New Roman" w:eastAsia="Times New Roman" w:hAnsi="Times New Roman" w:cs="Times New Roman"/>
          <w:sz w:val="26"/>
          <w:szCs w:val="26"/>
        </w:rPr>
        <w:t>в) согласование, учет, распределение.</w:t>
      </w:r>
    </w:p>
    <w:p w:rsidR="00F4606F" w:rsidRPr="00237909" w:rsidRDefault="00F4606F" w:rsidP="00F4606F"/>
    <w:p w:rsidR="00F4606F" w:rsidRPr="006664DC" w:rsidRDefault="00F4606F" w:rsidP="006664DC">
      <w:bookmarkStart w:id="0" w:name="_GoBack"/>
      <w:bookmarkEnd w:id="0"/>
    </w:p>
    <w:sectPr w:rsidR="00F4606F" w:rsidRPr="006664DC" w:rsidSect="0093048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187" w:rsidRDefault="00F4606F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042"/>
    <w:multiLevelType w:val="hybridMultilevel"/>
    <w:tmpl w:val="736EC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6D4917"/>
    <w:multiLevelType w:val="hybridMultilevel"/>
    <w:tmpl w:val="911EAD3C"/>
    <w:lvl w:ilvl="0" w:tplc="A3BCFBD4">
      <w:start w:val="12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0EF3461F"/>
    <w:multiLevelType w:val="hybridMultilevel"/>
    <w:tmpl w:val="BC14D2D2"/>
    <w:lvl w:ilvl="0" w:tplc="70CE28D0">
      <w:numFmt w:val="bullet"/>
      <w:lvlText w:val="–"/>
      <w:lvlJc w:val="left"/>
      <w:pPr>
        <w:ind w:left="498" w:hanging="286"/>
      </w:pPr>
      <w:rPr>
        <w:rFonts w:ascii="Times New Roman" w:eastAsia="Times New Roman" w:hAnsi="Times New Roman" w:hint="default"/>
        <w:w w:val="100"/>
        <w:sz w:val="27"/>
      </w:rPr>
    </w:lvl>
    <w:lvl w:ilvl="1" w:tplc="048A6C1C">
      <w:numFmt w:val="bullet"/>
      <w:lvlText w:val="–"/>
      <w:lvlJc w:val="left"/>
      <w:pPr>
        <w:ind w:left="213" w:hanging="216"/>
      </w:pPr>
      <w:rPr>
        <w:rFonts w:hint="default"/>
        <w:w w:val="100"/>
      </w:rPr>
    </w:lvl>
    <w:lvl w:ilvl="2" w:tplc="038A2E12">
      <w:numFmt w:val="bullet"/>
      <w:lvlText w:val="•"/>
      <w:lvlJc w:val="left"/>
      <w:pPr>
        <w:ind w:left="1517" w:hanging="216"/>
      </w:pPr>
      <w:rPr>
        <w:rFonts w:hint="default"/>
      </w:rPr>
    </w:lvl>
    <w:lvl w:ilvl="3" w:tplc="ED0ECBB4">
      <w:numFmt w:val="bullet"/>
      <w:lvlText w:val="•"/>
      <w:lvlJc w:val="left"/>
      <w:pPr>
        <w:ind w:left="2535" w:hanging="216"/>
      </w:pPr>
      <w:rPr>
        <w:rFonts w:hint="default"/>
      </w:rPr>
    </w:lvl>
    <w:lvl w:ilvl="4" w:tplc="7696C422">
      <w:numFmt w:val="bullet"/>
      <w:lvlText w:val="•"/>
      <w:lvlJc w:val="left"/>
      <w:pPr>
        <w:ind w:left="3552" w:hanging="216"/>
      </w:pPr>
      <w:rPr>
        <w:rFonts w:hint="default"/>
      </w:rPr>
    </w:lvl>
    <w:lvl w:ilvl="5" w:tplc="FAE49552">
      <w:numFmt w:val="bullet"/>
      <w:lvlText w:val="•"/>
      <w:lvlJc w:val="left"/>
      <w:pPr>
        <w:ind w:left="4570" w:hanging="216"/>
      </w:pPr>
      <w:rPr>
        <w:rFonts w:hint="default"/>
      </w:rPr>
    </w:lvl>
    <w:lvl w:ilvl="6" w:tplc="FD60061A">
      <w:numFmt w:val="bullet"/>
      <w:lvlText w:val="•"/>
      <w:lvlJc w:val="left"/>
      <w:pPr>
        <w:ind w:left="5588" w:hanging="216"/>
      </w:pPr>
      <w:rPr>
        <w:rFonts w:hint="default"/>
      </w:rPr>
    </w:lvl>
    <w:lvl w:ilvl="7" w:tplc="8788071A">
      <w:numFmt w:val="bullet"/>
      <w:lvlText w:val="•"/>
      <w:lvlJc w:val="left"/>
      <w:pPr>
        <w:ind w:left="6605" w:hanging="216"/>
      </w:pPr>
      <w:rPr>
        <w:rFonts w:hint="default"/>
      </w:rPr>
    </w:lvl>
    <w:lvl w:ilvl="8" w:tplc="BDCCB568">
      <w:numFmt w:val="bullet"/>
      <w:lvlText w:val="•"/>
      <w:lvlJc w:val="left"/>
      <w:pPr>
        <w:ind w:left="7623" w:hanging="216"/>
      </w:pPr>
      <w:rPr>
        <w:rFonts w:hint="default"/>
      </w:rPr>
    </w:lvl>
  </w:abstractNum>
  <w:abstractNum w:abstractNumId="3">
    <w:nsid w:val="1E2C257C"/>
    <w:multiLevelType w:val="hybridMultilevel"/>
    <w:tmpl w:val="C082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F0C7A"/>
    <w:multiLevelType w:val="hybridMultilevel"/>
    <w:tmpl w:val="BE3C927A"/>
    <w:lvl w:ilvl="0" w:tplc="C830769A">
      <w:numFmt w:val="bullet"/>
      <w:lvlText w:val="–"/>
      <w:lvlJc w:val="left"/>
      <w:pPr>
        <w:ind w:left="213" w:hanging="286"/>
      </w:pPr>
      <w:rPr>
        <w:rFonts w:ascii="Times New Roman" w:eastAsia="Times New Roman" w:hAnsi="Times New Roman" w:hint="default"/>
        <w:w w:val="100"/>
        <w:sz w:val="27"/>
      </w:rPr>
    </w:lvl>
    <w:lvl w:ilvl="1" w:tplc="68EA6174">
      <w:numFmt w:val="bullet"/>
      <w:lvlText w:val="•"/>
      <w:lvlJc w:val="left"/>
      <w:pPr>
        <w:ind w:left="1234" w:hanging="286"/>
      </w:pPr>
      <w:rPr>
        <w:rFonts w:hint="default"/>
      </w:rPr>
    </w:lvl>
    <w:lvl w:ilvl="2" w:tplc="0AAA721C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2AFC5ED4">
      <w:numFmt w:val="bullet"/>
      <w:lvlText w:val="•"/>
      <w:lvlJc w:val="left"/>
      <w:pPr>
        <w:ind w:left="3263" w:hanging="286"/>
      </w:pPr>
      <w:rPr>
        <w:rFonts w:hint="default"/>
      </w:rPr>
    </w:lvl>
    <w:lvl w:ilvl="4" w:tplc="48FA262E">
      <w:numFmt w:val="bullet"/>
      <w:lvlText w:val="•"/>
      <w:lvlJc w:val="left"/>
      <w:pPr>
        <w:ind w:left="4278" w:hanging="286"/>
      </w:pPr>
      <w:rPr>
        <w:rFonts w:hint="default"/>
      </w:rPr>
    </w:lvl>
    <w:lvl w:ilvl="5" w:tplc="2C76F532">
      <w:numFmt w:val="bullet"/>
      <w:lvlText w:val="•"/>
      <w:lvlJc w:val="left"/>
      <w:pPr>
        <w:ind w:left="5293" w:hanging="286"/>
      </w:pPr>
      <w:rPr>
        <w:rFonts w:hint="default"/>
      </w:rPr>
    </w:lvl>
    <w:lvl w:ilvl="6" w:tplc="3306FDF2">
      <w:numFmt w:val="bullet"/>
      <w:lvlText w:val="•"/>
      <w:lvlJc w:val="left"/>
      <w:pPr>
        <w:ind w:left="6307" w:hanging="286"/>
      </w:pPr>
      <w:rPr>
        <w:rFonts w:hint="default"/>
      </w:rPr>
    </w:lvl>
    <w:lvl w:ilvl="7" w:tplc="F11A2E18">
      <w:numFmt w:val="bullet"/>
      <w:lvlText w:val="•"/>
      <w:lvlJc w:val="left"/>
      <w:pPr>
        <w:ind w:left="7322" w:hanging="286"/>
      </w:pPr>
      <w:rPr>
        <w:rFonts w:hint="default"/>
      </w:rPr>
    </w:lvl>
    <w:lvl w:ilvl="8" w:tplc="D5EEBE30">
      <w:numFmt w:val="bullet"/>
      <w:lvlText w:val="•"/>
      <w:lvlJc w:val="left"/>
      <w:pPr>
        <w:ind w:left="8337" w:hanging="28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0A7902"/>
    <w:rsid w:val="002353B6"/>
    <w:rsid w:val="006664DC"/>
    <w:rsid w:val="006E45C1"/>
    <w:rsid w:val="00761D04"/>
    <w:rsid w:val="00AC7366"/>
    <w:rsid w:val="00B1416A"/>
    <w:rsid w:val="00C875B2"/>
    <w:rsid w:val="00D21585"/>
    <w:rsid w:val="00D51F2E"/>
    <w:rsid w:val="00EA64C9"/>
    <w:rsid w:val="00F4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Основной текст_"/>
    <w:basedOn w:val="a0"/>
    <w:link w:val="1"/>
    <w:locked/>
    <w:rsid w:val="002353B6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353B6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46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46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5">
    <w:name w:val="Основной текст_"/>
    <w:basedOn w:val="a0"/>
    <w:link w:val="1"/>
    <w:locked/>
    <w:rsid w:val="002353B6"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353B6"/>
    <w:pPr>
      <w:widowControl w:val="0"/>
      <w:spacing w:after="0" w:line="293" w:lineRule="auto"/>
      <w:ind w:firstLine="400"/>
    </w:pPr>
    <w:rPr>
      <w:rFonts w:ascii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46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46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2851</Words>
  <Characters>16257</Characters>
  <Application>Microsoft Office Word</Application>
  <DocSecurity>0</DocSecurity>
  <Lines>135</Lines>
  <Paragraphs>38</Paragraphs>
  <ScaleCrop>false</ScaleCrop>
  <Company>МИИТ</Company>
  <LinksUpToDate>false</LinksUpToDate>
  <CharactersWithSpaces>19070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Емельянова Ирина Игоревна</cp:lastModifiedBy>
  <cp:revision>20</cp:revision>
  <dcterms:created xsi:type="dcterms:W3CDTF">2021-06-21T09:41:00Z</dcterms:created>
  <dcterms:modified xsi:type="dcterms:W3CDTF">2023-04-29T13:00:00Z</dcterms:modified>
</cp:coreProperties>
</file>