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07" w:rsidRDefault="007E4407" w:rsidP="007E4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7E4407" w:rsidRDefault="007E4407" w:rsidP="007E4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«Ситилогистика</w:t>
      </w:r>
      <w:r>
        <w:rPr>
          <w:rFonts w:ascii="Times New Roman" w:hAnsi="Times New Roman"/>
          <w:b/>
          <w:color w:val="2C2D2E"/>
          <w:lang w:eastAsia="ru-RU"/>
        </w:rPr>
        <w:t>»</w:t>
      </w:r>
    </w:p>
    <w:p w:rsidR="007E4407" w:rsidRDefault="007E4407" w:rsidP="007E4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0A7902" w:rsidRPr="000A7902" w:rsidRDefault="007E4407" w:rsidP="000A7902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</w:t>
      </w:r>
      <w:r w:rsidR="000A7902" w:rsidRPr="000A7902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устного опроса на практических занятиях</w:t>
      </w:r>
    </w:p>
    <w:p w:rsidR="000A7902" w:rsidRPr="000A7902" w:rsidRDefault="000A7902" w:rsidP="000A7902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sz w:val="24"/>
          <w:szCs w:val="24"/>
        </w:rPr>
        <w:t xml:space="preserve"> 1. Перечислите</w:t>
      </w:r>
      <w:r w:rsidRPr="000A79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основные функции и задачи ситилогистики</w:t>
      </w:r>
    </w:p>
    <w:p w:rsidR="000A7902" w:rsidRPr="000A7902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Pr="000A7902">
        <w:rPr>
          <w:rFonts w:ascii="Times New Roman" w:eastAsia="Times New Roman" w:hAnsi="Times New Roman" w:cs="Times New Roman"/>
          <w:sz w:val="24"/>
          <w:szCs w:val="24"/>
        </w:rPr>
        <w:t xml:space="preserve">Объясните связь ситилогистики и зеленой логистики </w:t>
      </w:r>
    </w:p>
    <w:p w:rsidR="000A7902" w:rsidRPr="000A7902" w:rsidRDefault="000A7902" w:rsidP="000A7902">
      <w:pPr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b/>
          <w:sz w:val="24"/>
          <w:szCs w:val="24"/>
        </w:rPr>
        <w:t xml:space="preserve"> 3.</w:t>
      </w:r>
      <w:r w:rsidRPr="000A79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Расскажите о траспортных проблемах мегополиса</w:t>
      </w:r>
    </w:p>
    <w:p w:rsidR="000A7902" w:rsidRPr="000A7902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4. Какие методы обследования пассажиропотоков используюся на городском транспорте.</w:t>
      </w:r>
    </w:p>
    <w:p w:rsidR="000A7902" w:rsidRPr="000A7902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5  Перечислите показатели качества обслуживания пассажиров на городском транспорте.</w:t>
      </w:r>
    </w:p>
    <w:p w:rsidR="000A7902" w:rsidRPr="000A7902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6. Охарактеризуйте </w:t>
      </w:r>
      <w:r w:rsidRPr="000A7902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информационые системы городского транспорта.</w:t>
      </w:r>
      <w:r w:rsidRPr="000A790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0A7902" w:rsidRPr="000A7902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b/>
          <w:sz w:val="24"/>
          <w:szCs w:val="24"/>
        </w:rPr>
        <w:t xml:space="preserve"> 7. </w:t>
      </w:r>
      <w:r w:rsidRPr="000A7902">
        <w:rPr>
          <w:rFonts w:ascii="Times New Roman" w:eastAsia="Times New Roman" w:hAnsi="Times New Roman" w:cs="Times New Roman"/>
          <w:sz w:val="24"/>
          <w:szCs w:val="24"/>
        </w:rPr>
        <w:t>Что входит в</w:t>
      </w:r>
      <w:r w:rsidRPr="000A7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причинно-следственный комплекс факторов, определяющих величину пассажиропотоков</w:t>
      </w:r>
    </w:p>
    <w:p w:rsidR="000A7902" w:rsidRPr="007E4407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A79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 </w:t>
      </w:r>
      <w:r w:rsidRPr="007E440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8.  Какие факторы влияют на подвижность населения? </w:t>
      </w:r>
    </w:p>
    <w:p w:rsidR="000A7902" w:rsidRPr="007E4407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E440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 9.Назначение и основные функции ТПУ</w:t>
      </w:r>
    </w:p>
    <w:p w:rsidR="000A7902" w:rsidRPr="007E4407" w:rsidRDefault="000A7902" w:rsidP="000A79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E440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10.</w:t>
      </w:r>
      <w:r w:rsidRPr="007E4407">
        <w:rPr>
          <w:rFonts w:ascii="Times New Roman" w:eastAsia="Times New Roman" w:hAnsi="Times New Roman" w:cs="Verdana"/>
          <w:sz w:val="24"/>
          <w:szCs w:val="24"/>
        </w:rPr>
        <w:t xml:space="preserve"> Каковы составляющие сити-логистики?</w:t>
      </w:r>
    </w:p>
    <w:p w:rsidR="000A7902" w:rsidRPr="007E4407" w:rsidRDefault="000A7902" w:rsidP="000A7902">
      <w:p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E4407">
        <w:rPr>
          <w:rFonts w:ascii="Times New Roman" w:eastAsia="Times New Roman" w:hAnsi="Times New Roman" w:cs="Calibri"/>
          <w:sz w:val="24"/>
          <w:szCs w:val="24"/>
        </w:rPr>
        <w:t xml:space="preserve"> 11.Какие новые виды транспорта начинают использовать в городах?</w:t>
      </w:r>
    </w:p>
    <w:p w:rsidR="000A7902" w:rsidRPr="007E4407" w:rsidRDefault="000A7902" w:rsidP="000A790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E4407">
        <w:rPr>
          <w:rFonts w:ascii="Times New Roman" w:eastAsia="Times New Roman" w:hAnsi="Times New Roman" w:cs="Calibri"/>
          <w:sz w:val="24"/>
          <w:szCs w:val="24"/>
        </w:rPr>
        <w:t>Что понимают под территориальной увязанностью маршрутной системы?</w:t>
      </w:r>
    </w:p>
    <w:p w:rsidR="000A7902" w:rsidRPr="007E4407" w:rsidRDefault="000A7902" w:rsidP="000A790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E4407">
        <w:rPr>
          <w:rFonts w:ascii="Times New Roman" w:eastAsia="Times New Roman" w:hAnsi="Times New Roman" w:cs="Calibri"/>
          <w:sz w:val="24"/>
          <w:szCs w:val="24"/>
        </w:rPr>
        <w:t>Охарактеризуйте системы поставок в рамках грузовой ситилогистики.</w:t>
      </w:r>
    </w:p>
    <w:p w:rsidR="000A7902" w:rsidRPr="007E4407" w:rsidRDefault="000A7902" w:rsidP="000A790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E4407">
        <w:rPr>
          <w:rFonts w:ascii="Times New Roman" w:eastAsia="Times New Roman" w:hAnsi="Times New Roman" w:cs="Calibri"/>
          <w:sz w:val="24"/>
          <w:szCs w:val="24"/>
        </w:rPr>
        <w:t>Объясните понятия «Интеллектуальные транспортные системы» и «Умный город»</w:t>
      </w:r>
    </w:p>
    <w:p w:rsidR="000A7902" w:rsidRPr="007E4407" w:rsidRDefault="000A7902" w:rsidP="000A790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E4407">
        <w:rPr>
          <w:rFonts w:ascii="Times New Roman" w:eastAsia="Times New Roman" w:hAnsi="Times New Roman" w:cs="Times New Roman"/>
          <w:sz w:val="24"/>
          <w:szCs w:val="24"/>
        </w:rPr>
        <w:t>В чем проявляются  особенности создания терминальных комплексов для обслуживания грузопотоков.</w:t>
      </w:r>
    </w:p>
    <w:p w:rsidR="007E4407" w:rsidRDefault="007E4407" w:rsidP="007E440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перечень вопросов к зачету </w:t>
      </w:r>
    </w:p>
    <w:p w:rsidR="007E4407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407" w:rsidRPr="00582D68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 зачету.</w:t>
      </w:r>
    </w:p>
    <w:p w:rsidR="007E4407" w:rsidRPr="00582D68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407" w:rsidRPr="00582D68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1. </w:t>
      </w:r>
      <w:r w:rsidRPr="005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 следует к ближайшему остановочному пункту автобуса со скоростью 4 км/ч. Коэффициент непрямолинейности подхода 1,4,  средняя длина перегона 0,44 км, плотность маршрутной сети 2,2 км/ км2. Определить затраты времени на пеший подход к остановке.</w:t>
      </w:r>
    </w:p>
    <w:p w:rsidR="007E4407" w:rsidRPr="00582D68" w:rsidRDefault="007E4407" w:rsidP="007E44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2D6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7E4407" w:rsidRPr="00582D68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2.</w:t>
      </w:r>
      <w:r w:rsidRPr="00582D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маршруте протяженностью 15 км работают 12 автобусов, время оборота составляет 60 мин, суммарные простои на конечных остановках 5 мин, коэффициент сменяемости равен 5. Как изменятся затраты времени пассажиров на передвижение при увеличении эксплуатационной скорости  на 3 км/ч ? </w:t>
      </w:r>
    </w:p>
    <w:p w:rsidR="007E4407" w:rsidRPr="00582D68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3.</w:t>
      </w:r>
    </w:p>
    <w:p w:rsidR="007E4407" w:rsidRPr="00582D68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изменятся средние затраты времени на  передвижение пассажира, если на маршруте протяженностью 12 км заменить 8 городских автобусов большого класса на 6 автобусов</w:t>
      </w:r>
    </w:p>
    <w:p w:rsidR="007E4407" w:rsidRPr="00582D68" w:rsidRDefault="007E4407" w:rsidP="007E44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2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большого класса?  Средняя  эксплуатационная скорость на маршруте 15 км/</w:t>
      </w:r>
      <w:r w:rsidRPr="00582D68">
        <w:rPr>
          <w:rFonts w:ascii="Arial" w:eastAsia="Times New Roman" w:hAnsi="Arial" w:cs="Arial"/>
          <w:sz w:val="20"/>
          <w:szCs w:val="20"/>
          <w:lang w:eastAsia="ru-RU"/>
        </w:rPr>
        <w:t>ч.</w:t>
      </w:r>
    </w:p>
    <w:p w:rsidR="007E4407" w:rsidRPr="00582D68" w:rsidRDefault="007E4407" w:rsidP="007E44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2D6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7E4407" w:rsidRPr="00582D68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07" w:rsidRPr="00582D68" w:rsidRDefault="007E4407" w:rsidP="007E4407">
      <w:pPr>
        <w:spacing w:after="160" w:line="252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D68">
        <w:rPr>
          <w:rFonts w:ascii="Calibri" w:eastAsia="Times New Roman" w:hAnsi="Calibri" w:cs="Calibri"/>
          <w:b/>
        </w:rPr>
        <w:t xml:space="preserve">                                                    </w:t>
      </w:r>
      <w:r w:rsidRPr="00582D68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к зачету 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2D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82D68">
        <w:rPr>
          <w:rFonts w:ascii="Times New Roman" w:eastAsia="Times New Roman" w:hAnsi="Times New Roman" w:cs="Times New Roman"/>
          <w:sz w:val="24"/>
          <w:szCs w:val="24"/>
        </w:rPr>
        <w:t>.Задачи и объекты ситилогистики.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2.Структура информационной системы городского пассажир</w:t>
      </w: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транспорта.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3.Методы исследования пассажиропотоков и их классификация.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4.Показатели качества обслуживания пассажиров на городском транспорте.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Показатели работы городского пассажирского транспорта и формулы их расчета.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Транспортно-пересадочные узлы – понятие, классификация, принципы построения.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>7. Назначение и основные функции ТПУ.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Грузовая ситилогистика.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Зарубежный опыт организации ситилогистики.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Система «умный город» и ситилогистика.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10.Связь ситилогистики и «зеленой логистики».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Многоуровневые модели грузовых перевозок.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 Координация и консолидация грузоотправителей.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Интеллектуальные транспортные системы (ИТР).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Моделирование маршрутной транспортной сети города.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582D68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Особенности и принципы управления пассажирскими перевозками.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>16. Стратегия развития ИТР в России.</w:t>
      </w:r>
    </w:p>
    <w:p w:rsidR="007E4407" w:rsidRPr="00582D68" w:rsidRDefault="007E4407" w:rsidP="007E4407">
      <w:pPr>
        <w:spacing w:after="0"/>
        <w:rPr>
          <w:rFonts w:ascii="Calibri" w:eastAsia="Times New Roman" w:hAnsi="Calibri" w:cs="Calibri"/>
        </w:rPr>
      </w:pP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>17. Отечественный и зарубежный опыт функционирования ТПУ.</w:t>
      </w:r>
      <w:r w:rsidRPr="00582D68">
        <w:rPr>
          <w:rFonts w:ascii="Calibri" w:eastAsia="Times New Roman" w:hAnsi="Calibri" w:cs="Calibri"/>
        </w:rPr>
        <w:t xml:space="preserve"> 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582D68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582D68">
        <w:rPr>
          <w:rFonts w:ascii="Times New Roman" w:eastAsia="Times New Roman" w:hAnsi="Times New Roman" w:cs="Times New Roman"/>
        </w:rPr>
        <w:t xml:space="preserve"> </w:t>
      </w: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>Управление качеством обслуживания пассажиров и посетителей транспортно-пересадочного узла.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>19. Городские грузовые терминалы.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2D68">
        <w:rPr>
          <w:rFonts w:ascii="Times New Roman" w:eastAsia="Times New Roman" w:hAnsi="Times New Roman" w:cs="Times New Roman"/>
          <w:bCs/>
          <w:noProof/>
          <w:sz w:val="24"/>
          <w:szCs w:val="24"/>
        </w:rPr>
        <w:t>20. Специфические проблемы грузовой ситилогистики.</w:t>
      </w:r>
    </w:p>
    <w:p w:rsidR="007E4407" w:rsidRPr="00582D68" w:rsidRDefault="007E4407" w:rsidP="007E440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407" w:rsidRPr="00582D68" w:rsidRDefault="007E4407" w:rsidP="007E4407">
      <w:pPr>
        <w:spacing w:after="0"/>
        <w:jc w:val="center"/>
        <w:rPr>
          <w:rFonts w:ascii="Calibri" w:eastAsia="Times New Roman" w:hAnsi="Calibri" w:cs="Calibri"/>
          <w:sz w:val="24"/>
          <w:szCs w:val="24"/>
        </w:rPr>
      </w:pPr>
    </w:p>
    <w:p w:rsidR="007E4407" w:rsidRPr="00582D68" w:rsidRDefault="007E4407" w:rsidP="007E4407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заданий на Практических занятиях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По приведенным  данным (табл. 1, 2) выполнить анализ пассажирских перевозок. Сделать выводы.</w:t>
      </w:r>
    </w:p>
    <w:p w:rsidR="007E4407" w:rsidRPr="0024195A" w:rsidRDefault="007E4407" w:rsidP="007E4407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p w:rsidR="007E4407" w:rsidRPr="0024195A" w:rsidRDefault="007E4407" w:rsidP="007E4407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Вместимость различных групп автобусов, чел.</w:t>
      </w:r>
    </w:p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5"/>
        <w:gridCol w:w="7"/>
        <w:gridCol w:w="1261"/>
        <w:gridCol w:w="1052"/>
        <w:gridCol w:w="1031"/>
        <w:gridCol w:w="814"/>
        <w:gridCol w:w="1052"/>
        <w:gridCol w:w="1031"/>
        <w:gridCol w:w="768"/>
        <w:gridCol w:w="1924"/>
      </w:tblGrid>
      <w:tr w:rsidR="007E4407" w:rsidRPr="0024195A" w:rsidTr="00505B5E">
        <w:tc>
          <w:tcPr>
            <w:tcW w:w="1580" w:type="dxa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629" w:type="dxa"/>
            <w:gridSpan w:val="2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Габариты, длина, м</w:t>
            </w:r>
          </w:p>
        </w:tc>
        <w:tc>
          <w:tcPr>
            <w:tcW w:w="4754" w:type="dxa"/>
            <w:gridSpan w:val="3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</w:tc>
        <w:tc>
          <w:tcPr>
            <w:tcW w:w="4618" w:type="dxa"/>
            <w:gridSpan w:val="3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Пригородные</w:t>
            </w:r>
          </w:p>
        </w:tc>
        <w:tc>
          <w:tcPr>
            <w:tcW w:w="2205" w:type="dxa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Междугородные экскурсионные</w:t>
            </w:r>
          </w:p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Туристические</w:t>
            </w:r>
          </w:p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1580" w:type="dxa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сидения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стояния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сидения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стояния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05" w:type="dxa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Менее 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6-7.5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28-37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8-9.5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20-25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30-35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50-60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35-45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10-15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55-75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80-110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35-40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50-55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35-40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Более 16.5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35-45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Более 85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Более 120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Таблица 2</w:t>
      </w:r>
    </w:p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Изменение подвижности  населения в зависимости от величины города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E4407" w:rsidRPr="0024195A" w:rsidTr="00505B5E">
        <w:tc>
          <w:tcPr>
            <w:tcW w:w="2392" w:type="dxa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179" w:type="dxa"/>
            <w:gridSpan w:val="3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Население города, тыс.чел.</w:t>
            </w:r>
          </w:p>
        </w:tc>
      </w:tr>
      <w:tr w:rsidR="007E4407" w:rsidRPr="0024195A" w:rsidTr="00505B5E">
        <w:tc>
          <w:tcPr>
            <w:tcW w:w="2392" w:type="dxa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250-500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500-1000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Больше 1000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Подвижность населения (число передвижений на 1 жит. в год)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600-900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700-1000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1100-1300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Удельный вес передвижений, %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трудовые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культурно-бытовые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34-37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35-38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37-41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возвратные  домой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Средний коэффициент пользования транспортом по целям передвижения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трудовые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0.43-0.45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0.55-0.64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0.67-0.74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культурно-бытовые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0.34-0.40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0.35-0.39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0.42-0.50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возвратные  домой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0.35-0.45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0.34-0.50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0.47-0.49</w:t>
            </w:r>
          </w:p>
        </w:tc>
      </w:tr>
    </w:tbl>
    <w:p w:rsidR="007E4407" w:rsidRPr="0024195A" w:rsidRDefault="007E4407" w:rsidP="007E4407"/>
    <w:p w:rsidR="007E4407" w:rsidRDefault="007E4407" w:rsidP="007E4407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Примерный перечень кейсов</w:t>
      </w:r>
    </w:p>
    <w:p w:rsidR="007E4407" w:rsidRPr="00676114" w:rsidRDefault="007E4407" w:rsidP="007E4407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7611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Кейс. Формирование маршрутной сети города и выбор видов транспорта пассажирской системы города.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Экономико-математические методы планирования нашли применение и в планировании работы автобусного транспорта. В основе решения задачи по выбору 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схемы автобусных маршрутов лежат математические методы комбинаторного анализа.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Сущность задачи выбора схемы автобусных маршрутов. Имеется транспортная сеть - улицы города, по которым возможно движение автобусов. Заданы крупные пункты зарождения и погашения пассажиропотоков - узлы и соединяющие иx участки улиц - звенья транспортной сети. Известно время следования автобусов по каждому звену транспортной сети. Установлены размеры пассажиропотоков между узлами заданной транспортной сети и типы автобусов, обслуживающие намечаемые линии, и их характеристики.</w:t>
      </w:r>
    </w:p>
    <w:p w:rsidR="007E4407" w:rsidRPr="00676114" w:rsidRDefault="007E4407" w:rsidP="007E4407">
      <w:pPr>
        <w:spacing w:after="160" w:line="252" w:lineRule="auto"/>
        <w:rPr>
          <w:rFonts w:ascii="Georgia" w:eastAsia="Times New Roman" w:hAnsi="Georgia" w:cs="Calibri"/>
          <w:color w:val="333333"/>
        </w:rPr>
      </w:pPr>
      <w:r w:rsidRPr="00676114">
        <w:rPr>
          <w:rFonts w:ascii="Georgia" w:eastAsia="Times New Roman" w:hAnsi="Georgia" w:cs="Calibri"/>
          <w:color w:val="333333"/>
        </w:rPr>
        <w:t>Требуется определить такую схему автобусных маршрутов, чтобы суммарные затраты времени всеми пассажирами на ожидание, проезд и пересадки были минимальными. При этом на решение могут быть наложены следующие ограничения: использование вместимости автобусов должно быть не ниже заданного коэффициента; интервал между отправлениями автобусов не может превышать заданной величины, различной для различных линий; протяженность маршрута должна быть не меньше минимальной и не больше максимальной длины, которая заранее задается; маршруты не должны начинаться и заканчиваться в тех узлах, которые не могут быть использованы для организации конечных пунктов маршрутов, и другие ограничения, вытекающие из местных условий каждого конкретного города.  Исходя из указанной формулировки задачи выбора схемы автобусных маршрутов в городах для ее решения необходимы следующие основные исходные данные.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Карта города с транспортной сетью, состоящей из пунктов зарождения и погашения пассажиропотоков и улиц, соединяющих эти пункты, по которым возможно движение автобусов.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 пунктами зарождения и погашения пассажиропотоков обычно понимаются транспортные микрорайоны города. При разбивке города на микрорайоны в первую очередь используются естественные и искусственные рубежи (реки, железнодорожные линии и т. п.). Транспортные магистрали при этом по возможности должны быть осями симметрии микрорайона. Площадь района назначается в пределах 250—350 га, что обеспечивает подход пассажиров к остановочным пунктам не более чем 700 м. Поэтому при решении данной задачи</w:t>
      </w:r>
    </w:p>
    <w:p w:rsidR="007E4407" w:rsidRPr="00676114" w:rsidRDefault="007E4407" w:rsidP="007E4407">
      <w:pPr>
        <w:spacing w:after="160" w:line="252" w:lineRule="auto"/>
        <w:rPr>
          <w:rFonts w:ascii="Georgia" w:eastAsia="Times New Roman" w:hAnsi="Georgia" w:cs="Calibri"/>
          <w:color w:val="333333"/>
        </w:rPr>
      </w:pPr>
      <w:r w:rsidRPr="00676114">
        <w:rPr>
          <w:rFonts w:ascii="Georgia" w:eastAsia="Times New Roman" w:hAnsi="Georgia" w:cs="Calibri"/>
          <w:color w:val="333333"/>
        </w:rPr>
        <w:t>принимается, что пешие переходы от и до остановки  зависят не от маршрутов, а от разветвленности транспортной сети. В связи с этим общие затраты времени пассажирами на пешие передвижения принимаются постоянными, независимыми от схемы маршрутов, и поэтому в расчетах по выбору схемы маршрутов не учитываются. На транспортной сети указываются длина каждого ее участка и время следования автобуса по этим участкам.</w:t>
      </w:r>
    </w:p>
    <w:p w:rsidR="007E4407" w:rsidRPr="00676114" w:rsidRDefault="007E4407" w:rsidP="007E4407">
      <w:pPr>
        <w:spacing w:after="160" w:line="252" w:lineRule="auto"/>
        <w:rPr>
          <w:rFonts w:ascii="Georgia" w:eastAsia="Times New Roman" w:hAnsi="Georgia" w:cs="Calibri"/>
          <w:color w:val="333333"/>
        </w:rPr>
      </w:pPr>
      <w:r w:rsidRPr="00676114">
        <w:rPr>
          <w:rFonts w:ascii="Georgia" w:eastAsia="Times New Roman" w:hAnsi="Georgia" w:cs="Calibri"/>
          <w:color w:val="333333"/>
        </w:rPr>
        <w:t xml:space="preserve">2. Размеры пассажиропотоков между всеми пунктами (микрорайонами) города, которые определяются на основе анкетного обследования пассажиропотоков, при этом в каждой анкете указывается, откуда и куда (адрес или место начала и окончания передвижения) следует пассажир, что позволяет при обработке анкет определить соответствующие микрорайоны начала и окончания поездок пассажиров. Наиболее целесообразно маршрутную схему разрабатывать на основе трудовых и других поездок в утренние часы «пик» в зимнее время. Таким образом, и обследование должно проводиться в указанное время. Вместо сплошного анкетного обследования можно проводить выборочное анкетное обследование пассажиропотоков, что может значительно сократить его трудоемкость. Для </w:t>
      </w:r>
      <w:r w:rsidRPr="00676114">
        <w:rPr>
          <w:rFonts w:ascii="Georgia" w:eastAsia="Times New Roman" w:hAnsi="Georgia" w:cs="Calibri"/>
          <w:color w:val="333333"/>
        </w:rPr>
        <w:lastRenderedPageBreak/>
        <w:t>обработки материалов анкетного обследования можно использовать электронно-вычислительную технику.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Используемая вместимость единицы подвижного состава с учетом заданного коэффициента наполнения, обеспечивающего предоставление пассажирам необходимых удобств поездки.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 Время, затрачиваемое одним пассажиром на пересадки в каждом пункте.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 Максимальные (и в некоторых случаях минимальные) интервалы движения автобусов.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6. Минимальный коэффициент использования вместимости автобусов по всей сети маршрутов в целом, обеспечивающий определенное эффективное использование имеющегося или планируемого парка автобусов.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Если необходимо учитывать дополнительные ограничения при расчете схемы автобусных маршрутов, о которых говорилось выше, то необходимы соответствующие исходные данные о возможной минимальной и максимальной протяженности маршрута и др.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Число возможных вариантов построения схемы маршрутов выражается очень большой величиной. Наилучшее решение находится где-то между двумя крайними вариантами.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Все микрорайоны связываются непосредственно между собой прямыми маршрутами,  и  тогда  при  поездках  все пересадки будут полностью исключены и  при  этом  количество  маршрутов  будет  наибольшее  и  их  число  будет </w:t>
      </w: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m = [(n — 1) n] : 2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где </w:t>
      </w: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n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число микрорайонов.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Так, если имеется 30 районов, то максимальное количество маршрутов может составить 435. Однако при большом числе автобусных маршрутов пассажиропотоки, приходящиеся на каждый из них, будут мелкими и при условии заданного использования вместимости автобусов последние будут двигаться на линии с большими интервалами, что вызовет потери времени пассажиров на ожидание автобусов на остановках.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Другим крайним вариантом при простейшем линейном расположении микрорайонов является вариант, когда маршруты назначаются только между соседними микрорайонами, и их число будет </w:t>
      </w: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m = n — 1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т. е. при 30 микрорайонах таких маршрутов будет 29. Однако при этом будут иметь место максимально возможное число пересадок пассажиров и соответствующее этому затраты их времени на пересадки.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Таким образом, необходимо выбрать определенную комбинацию прямых и участковых маршрутов, которая обеспечивала бы минимальные суммарные затраты времени пассажиров на поездки. Общее количество таких комбинаций в этой задаче равно </w:t>
      </w: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2</w:t>
      </w:r>
      <w:r w:rsidRPr="00676114">
        <w:rPr>
          <w:rFonts w:ascii="Georgia" w:eastAsia="Times New Roman" w:hAnsi="Georgia" w:cs="Times New Roman"/>
          <w:b/>
          <w:bCs/>
          <w:color w:val="333333"/>
          <w:sz w:val="18"/>
          <w:szCs w:val="18"/>
          <w:vertAlign w:val="superscript"/>
          <w:lang w:eastAsia="ru-RU"/>
        </w:rPr>
        <w:t>(n-1)n </w:t>
      </w: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- 1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т. е. является очень большим. При больших значениях </w:t>
      </w: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n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расчет всех 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вариантов невозможен. Метод комбинаторного анализа с направленным отбором вариантов позволяет путем расчета лишь части вариантов найти наилучший из них.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Методику расчета схемы автобусных маршрутов в городах рассмотрим на условном, несколько упрощенном примере. Упрощение состоит в том, что в примере не учитываются все возможные ограничения, которые могут быть в реальных условиях того или иного города, однако основные из них в данном примере заданы.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Транспортная сеть рассматриваемого примера представлена на рис. 1.</w:t>
      </w:r>
    </w:p>
    <w:p w:rsidR="007E4407" w:rsidRPr="00676114" w:rsidRDefault="007E4407" w:rsidP="007E4407">
      <w:pPr>
        <w:spacing w:after="160" w:line="252" w:lineRule="auto"/>
        <w:rPr>
          <w:rFonts w:ascii="Calibri" w:eastAsia="Times New Roman" w:hAnsi="Calibri" w:cs="Calibri"/>
        </w:rPr>
      </w:pPr>
      <w:r>
        <w:rPr>
          <w:rFonts w:ascii="Georgia" w:eastAsia="Times New Roman" w:hAnsi="Georgia" w:cs="Calibri"/>
          <w:noProof/>
          <w:color w:val="333333"/>
          <w:lang w:eastAsia="ru-RU"/>
        </w:rPr>
        <w:drawing>
          <wp:inline distT="0" distB="0" distL="0" distR="0" wp14:anchorId="710644D6" wp14:editId="188BC57F">
            <wp:extent cx="5934710" cy="3605530"/>
            <wp:effectExtent l="0" t="0" r="0" b="0"/>
            <wp:docPr id="1" name="Рисунок 1" descr="https://konspekta.net/studopediaru/baza20/192033358532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konspekta.net/studopediaru/baza20/1920333585322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Рис. 1. Транспортная модель города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Цифры в кружках обозначают номера пунктов (центров микрорайонов); цифры в середине участков сети указывают время движения автобусов по данному участку в минутах, а цифры в скобках длину участка в километрах.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Корреспонденция пассажиропотоков в расчётный период «пик», принятый в данном примере равным 1 ч, представлена в табл. 1. Эта таблица составляется на основе обработки данных по обследованию пассажиропотоков. В таблице в первом столбце указаны пункты откуда, а впервой строке куда едут пассажиры.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Таблица 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506"/>
        <w:gridCol w:w="519"/>
        <w:gridCol w:w="521"/>
        <w:gridCol w:w="507"/>
        <w:gridCol w:w="500"/>
        <w:gridCol w:w="499"/>
        <w:gridCol w:w="506"/>
        <w:gridCol w:w="492"/>
      </w:tblGrid>
      <w:tr w:rsidR="007E4407" w:rsidRPr="00676114" w:rsidTr="00505B5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Откуда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Куда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210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190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110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</w:tr>
    </w:tbl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Все маршруты обслуживаются одним типом автобусов, вместимость каждого из которых с учетом коэффициента наполнения составляет 40 чел. Максимальный интервал между отправлениями автобусов задан равным l </w:t>
      </w:r>
      <w:r w:rsidRPr="00676114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max</w:t>
      </w: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= 12 мин. Время движения между пунктами в обе стороны принято равным, хотя в общем случае оно может быть различным.</w:t>
      </w: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Время, затрачиваемое одним пассажиром на пересадку в каждом пункте, следующее (мин):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8"/>
        <w:gridCol w:w="929"/>
        <w:gridCol w:w="929"/>
        <w:gridCol w:w="929"/>
        <w:gridCol w:w="930"/>
        <w:gridCol w:w="930"/>
        <w:gridCol w:w="930"/>
        <w:gridCol w:w="930"/>
        <w:gridCol w:w="930"/>
      </w:tblGrid>
      <w:tr w:rsidR="007E4407" w:rsidRPr="00676114" w:rsidTr="00505B5E">
        <w:tc>
          <w:tcPr>
            <w:tcW w:w="1208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rPr>
                <w:lang w:val="en-US"/>
              </w:rPr>
              <w:t xml:space="preserve">N </w:t>
            </w:r>
            <w:r w:rsidRPr="00676114">
              <w:t>пункта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1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2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4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5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6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7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8</w:t>
            </w:r>
          </w:p>
        </w:tc>
      </w:tr>
      <w:tr w:rsidR="007E4407" w:rsidRPr="00676114" w:rsidTr="00505B5E">
        <w:tc>
          <w:tcPr>
            <w:tcW w:w="1208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Время пересадки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2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5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4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4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5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</w:tr>
    </w:tbl>
    <w:p w:rsidR="007E4407" w:rsidRPr="00676114" w:rsidRDefault="007E4407" w:rsidP="007E4407">
      <w:pPr>
        <w:spacing w:after="160" w:line="252" w:lineRule="auto"/>
        <w:rPr>
          <w:rFonts w:ascii="Calibri" w:eastAsia="Times New Roman" w:hAnsi="Calibri" w:cs="Calibri"/>
        </w:rPr>
      </w:pPr>
    </w:p>
    <w:p w:rsidR="007E4407" w:rsidRPr="00676114" w:rsidRDefault="007E4407" w:rsidP="007E440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Задание: Разработать  маршрутную схему движения городского транспорта в несколько этапов.</w:t>
      </w:r>
    </w:p>
    <w:p w:rsidR="007E4407" w:rsidRPr="00676114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61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I. Определение кратчайших (по времени) путей между пунктами (микрорайонами).</w:t>
      </w:r>
      <w:r w:rsidRPr="00676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7E4407" w:rsidRPr="00676114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761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II. Установление исходной маршрутной схемы</w:t>
      </w:r>
    </w:p>
    <w:p w:rsidR="007E4407" w:rsidRPr="00676114" w:rsidRDefault="007E4407" w:rsidP="007E4407">
      <w:pPr>
        <w:spacing w:after="0" w:line="240" w:lineRule="auto"/>
        <w:rPr>
          <w:rFonts w:ascii="Georgia" w:eastAsia="Times New Roman" w:hAnsi="Georgia" w:cs="Times New Roman"/>
          <w:bCs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Этап III. Проверка участковых маршрутов на соответствие заданному интервалу движения.</w:t>
      </w:r>
    </w:p>
    <w:p w:rsidR="007E4407" w:rsidRPr="00676114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7611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Этап IV. Расчет целесообразности назначения дополнительных сквозных маршрутов.</w:t>
      </w:r>
    </w:p>
    <w:p w:rsidR="007E4407" w:rsidRPr="00676114" w:rsidRDefault="007E4407" w:rsidP="007E4407">
      <w:pPr>
        <w:keepNext/>
        <w:spacing w:after="0" w:line="240" w:lineRule="auto"/>
        <w:outlineLvl w:val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76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 V. Проверка полученной схемы автобусных маршрутов на заданный коэффициент использования вместимости автобусов</w:t>
      </w:r>
      <w:r w:rsidRPr="006761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7E4407" w:rsidRPr="00676114" w:rsidRDefault="007E4407" w:rsidP="007E4407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7E4407" w:rsidRPr="00676114" w:rsidRDefault="007E4407" w:rsidP="007E4407">
      <w:pPr>
        <w:spacing w:after="160" w:line="25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1. </w:t>
      </w:r>
      <w:r w:rsidRPr="00676114">
        <w:rPr>
          <w:rFonts w:ascii="Times New Roman" w:eastAsia="Times New Roman" w:hAnsi="Times New Roman" w:cs="Times New Roman"/>
          <w:sz w:val="24"/>
          <w:szCs w:val="24"/>
        </w:rPr>
        <w:t xml:space="preserve"> Дана схема размещения пунктов потребления,</w:t>
      </w:r>
      <w:r w:rsidRPr="00676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76114">
        <w:rPr>
          <w:rFonts w:ascii="Times New Roman" w:eastAsia="Times New Roman" w:hAnsi="Times New Roman" w:cs="Times New Roman"/>
          <w:sz w:val="24"/>
          <w:szCs w:val="24"/>
        </w:rPr>
        <w:t>положение центра снабжения А, а также расстояния между пунктами потребления и их потребность (рисунок 1). Грузоподъемность автомобиля равна 2 т, стоимость перевозки 250 р./т·км. Скорость движения автомобиля 40 км/ч. Время погрузочно-разгрузочных работ в каждом пункте 0,5 ч. Требуется разработать кольцевой маршрут объезда потребителей.</w:t>
      </w:r>
    </w:p>
    <w:p w:rsidR="007E4407" w:rsidRPr="00676114" w:rsidRDefault="007E4407" w:rsidP="007E4407">
      <w:pPr>
        <w:spacing w:after="160" w:line="266" w:lineRule="exact"/>
        <w:rPr>
          <w:rFonts w:ascii="Calibri" w:eastAsia="Times New Roman" w:hAnsi="Calibri" w:cs="Calibri"/>
          <w:sz w:val="20"/>
          <w:szCs w:val="20"/>
        </w:rPr>
      </w:pPr>
    </w:p>
    <w:p w:rsidR="007E4407" w:rsidRPr="00676114" w:rsidRDefault="007E4407" w:rsidP="007E4407">
      <w:pPr>
        <w:numPr>
          <w:ilvl w:val="0"/>
          <w:numId w:val="2"/>
        </w:numPr>
        <w:tabs>
          <w:tab w:val="left" w:pos="3540"/>
        </w:tabs>
        <w:spacing w:after="0" w:line="240" w:lineRule="auto"/>
        <w:ind w:left="3540" w:hanging="411"/>
        <w:rPr>
          <w:rFonts w:ascii="Calibri" w:eastAsia="Times New Roman" w:hAnsi="Calibri" w:cs="Calibri"/>
          <w:sz w:val="24"/>
          <w:szCs w:val="24"/>
        </w:rPr>
      </w:pPr>
      <w:r w:rsidRPr="00676114">
        <w:rPr>
          <w:rFonts w:ascii="Calibri" w:eastAsia="Times New Roman" w:hAnsi="Calibri" w:cs="Calibri"/>
          <w:sz w:val="24"/>
          <w:szCs w:val="24"/>
        </w:rPr>
        <w:t>кг</w:t>
      </w:r>
    </w:p>
    <w:p w:rsidR="007E4407" w:rsidRPr="00676114" w:rsidRDefault="007E4407" w:rsidP="007E4407">
      <w:pPr>
        <w:spacing w:after="160" w:line="20" w:lineRule="exact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7BCB5D10" wp14:editId="43BE1B62">
            <wp:simplePos x="0" y="0"/>
            <wp:positionH relativeFrom="column">
              <wp:posOffset>2063750</wp:posOffset>
            </wp:positionH>
            <wp:positionV relativeFrom="paragraph">
              <wp:posOffset>34925</wp:posOffset>
            </wp:positionV>
            <wp:extent cx="1638300" cy="17513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07" w:rsidRPr="00676114" w:rsidRDefault="007E4407" w:rsidP="007E4407">
      <w:pPr>
        <w:spacing w:after="160" w:line="63" w:lineRule="exact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0"/>
        <w:gridCol w:w="220"/>
        <w:gridCol w:w="1280"/>
        <w:gridCol w:w="20"/>
      </w:tblGrid>
      <w:tr w:rsidR="007E4407" w:rsidRPr="00676114" w:rsidTr="00505B5E">
        <w:trPr>
          <w:trHeight w:val="312"/>
        </w:trPr>
        <w:tc>
          <w:tcPr>
            <w:tcW w:w="72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3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Б</w:t>
            </w: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2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18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w w:val="97"/>
                <w:sz w:val="24"/>
                <w:szCs w:val="24"/>
              </w:rPr>
              <w:t>300 кг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19"/>
        </w:trPr>
        <w:tc>
          <w:tcPr>
            <w:tcW w:w="72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427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22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22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4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45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395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94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7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34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18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94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128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275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74" w:lineRule="exact"/>
              <w:ind w:right="70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w w:val="82"/>
                <w:sz w:val="24"/>
                <w:szCs w:val="24"/>
              </w:rPr>
              <w:t>5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86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72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128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370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5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425"/>
        </w:trPr>
        <w:tc>
          <w:tcPr>
            <w:tcW w:w="72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550 кг</w:t>
            </w: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7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4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Г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75"/>
        </w:trPr>
        <w:tc>
          <w:tcPr>
            <w:tcW w:w="72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6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w w:val="97"/>
                <w:sz w:val="24"/>
                <w:szCs w:val="24"/>
                <w:highlight w:val="white"/>
              </w:rPr>
              <w:t>700 кг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81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128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</w:tbl>
    <w:p w:rsidR="007E4407" w:rsidRPr="00676114" w:rsidRDefault="007E4407" w:rsidP="007E4407">
      <w:pPr>
        <w:spacing w:after="160" w:line="167" w:lineRule="exact"/>
        <w:rPr>
          <w:rFonts w:ascii="Calibri" w:eastAsia="Times New Roman" w:hAnsi="Calibri" w:cs="Calibri"/>
          <w:sz w:val="20"/>
          <w:szCs w:val="20"/>
        </w:rPr>
      </w:pPr>
    </w:p>
    <w:p w:rsidR="007E4407" w:rsidRPr="00676114" w:rsidRDefault="007E4407" w:rsidP="007E4407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14">
        <w:rPr>
          <w:rFonts w:ascii="Times New Roman" w:eastAsia="Times New Roman" w:hAnsi="Times New Roman" w:cs="Times New Roman"/>
          <w:sz w:val="24"/>
          <w:szCs w:val="24"/>
        </w:rPr>
        <w:t>Рисунок 1 – Схема размещения пунктов потребления</w:t>
      </w:r>
    </w:p>
    <w:p w:rsidR="007E4407" w:rsidRPr="00676114" w:rsidRDefault="007E4407" w:rsidP="007E4407">
      <w:pPr>
        <w:spacing w:after="160" w:line="252" w:lineRule="auto"/>
        <w:rPr>
          <w:rFonts w:ascii="Calibri" w:eastAsia="Times New Roman" w:hAnsi="Calibri" w:cs="Calibri"/>
        </w:rPr>
      </w:pPr>
    </w:p>
    <w:p w:rsidR="007E4407" w:rsidRPr="00676114" w:rsidRDefault="007E4407" w:rsidP="007E440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2. </w:t>
      </w:r>
      <w:r w:rsidRPr="00676114">
        <w:rPr>
          <w:rFonts w:ascii="Times New Roman" w:eastAsia="Times New Roman" w:hAnsi="Times New Roman" w:cs="Times New Roman"/>
          <w:sz w:val="24"/>
          <w:szCs w:val="24"/>
        </w:rPr>
        <w:t>Расчет потребности в грузовом  транспорте для внутригородских перевозок.</w:t>
      </w:r>
    </w:p>
    <w:p w:rsidR="007E4407" w:rsidRPr="00676114" w:rsidRDefault="007E4407" w:rsidP="007E4407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676114" w:rsidRDefault="007E4407" w:rsidP="007E4407">
      <w:r w:rsidRPr="00676114">
        <w:rPr>
          <w:rFonts w:ascii="Times New Roman" w:eastAsia="Times New Roman" w:hAnsi="Times New Roman" w:cs="Times New Roman"/>
          <w:sz w:val="24"/>
          <w:szCs w:val="24"/>
        </w:rPr>
        <w:t>Необходимо перевести 200 т груза. Автомобили работают на маятниковом маршруте с обратным холостым пробегом. Грузоподъемность автомобиля 4 т; расстояние гружёной поездки равно расстоянию порожней поездки и равно 15 км; коэффициент использования грузоподъемности 0,8; время простоя под погрузкой и разгрузкой 30 мин; техническая скорость перемещения 35 км/ ч; время работы автомобиля на маршруте 8,5 ч. Определить необходимое количество транспортных средств</w:t>
      </w:r>
    </w:p>
    <w:p w:rsidR="007E4407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E4407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E4407" w:rsidRPr="0058483D" w:rsidRDefault="007E4407" w:rsidP="007E44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Примерный </w:t>
      </w:r>
      <w:r w:rsidRPr="0058483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Перечень тестовых вопросов.</w:t>
      </w:r>
    </w:p>
    <w:p w:rsidR="007E4407" w:rsidRPr="0058483D" w:rsidRDefault="007E4407" w:rsidP="007E4407">
      <w:pPr>
        <w:spacing w:after="160" w:line="252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58483D">
        <w:rPr>
          <w:rFonts w:ascii="Calibri" w:eastAsia="Times New Roman" w:hAnsi="Calibri" w:cs="Calibri"/>
          <w:b/>
          <w:bCs/>
          <w:color w:val="000000"/>
          <w:lang w:eastAsia="ru-RU"/>
        </w:rPr>
        <w:t>Тест 1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1) Ситилогистика -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это комплекс логистических решений, действий, процессов, нацеленных на оптимизацию управленческих решений администрации, материальных потоков, транспортных средств, людей, знаний, энергии, финансов, информация в рамках подсистем города и его инфраструктуры.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рационализация материальных и социальных потоков в городе.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это комплекс решений нацеленных на оптимизацию перевозок грузов и пассажиров, гармонизацию местных правил их перевозки и развитие инфраструктуры в условиях большого кол-ва частных автомобилей.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8483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оптимальное управление дискретными и непрерывными потоками в производстве товаров и услуг.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2) К сфере деятельности ситилогистики не относится: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1) торговля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передвижение грузов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передвижение ресурсов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  <w:shd w:val="clear" w:color="auto" w:fill="FFFFFF"/>
        </w:rPr>
        <w:t xml:space="preserve"> </w:t>
      </w: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производство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3) Концепция построения логистической системы в производстве (операционном менеджменте), снабжении и распределении, основанная на синхронизации процессов доставки материальных ресурсов и готовой продукции в необходимых количествах к тому времени, когда звенья логистической системы в них нуждаются, с целью минимизации затрат, связанных с созданием запасов. Речь идет о: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  <w:shd w:val="clear" w:color="auto" w:fill="FFFFFF"/>
        </w:rPr>
        <w:t xml:space="preserve"> </w:t>
      </w: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Концепция "точно в срок"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Концепция "стройного производства"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Концепции "реагирования на спрос"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Концепции "цена качество"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4)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Подготовительный для выполнения транспортной работы пробег, вызванный необходимостью подачи автомобилей к месту работы из гаража в пункт погрузки и из пункта выгрузки в гараж – это: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общий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холостой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нулевой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производственный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5) 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ТККГ включает в себя: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1 ) Транспортная сеть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Подвижной состав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Государственные муниципальные органы управления на транспорте (комитеты, департаменты по транспорту)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Все вышеперечисленное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6) Какой признак не относится к классификации городского транспорта ''по назначению''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1) пассажирский 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2) грузовой 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  <w:shd w:val="clear" w:color="auto" w:fill="FFFFFF"/>
        </w:rPr>
        <w:t xml:space="preserve"> </w:t>
      </w:r>
      <w:r w:rsidRPr="005848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рельсовый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48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 специальный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7) Расстояние, пройденное 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автомобилем при подаче такси от места высадки пассажиров до места новой посадки – это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общий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холостой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нулевой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производственный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8) 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число перемещенных пассажиров на всех видах городского транспорта приходящегося на одного жителя в год (с учетом приезжих и пригородных пассажиров и с пересадками) – это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Транспортная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Потенциальная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Реализуемая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Учетная транспортная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9) Число передвижений, соответствующих запросу населения, который определяется биологической и общественной потребностью, а также историческим укладом и культурными потребностями - это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Транспортная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Потенциальная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Реализуемая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Учетная транспортная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10) Число передвижения в ед времени (на год, сутки, час) всеми группами населения участвующих в передвижении, отнесенных к числу жителей, проживающих в данных административных границах - это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Транспортная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Общая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Абсолютная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Реализуемая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11) Согласно пространственной характеристике выделяют группы передвижений: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концентрированная по направлениям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по мощности пассажирских потоков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равномерно разделенная по территории района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Все вышеперечисленное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 xml:space="preserve">12) Основными факторами формирования маршрутной сети являются – 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8483D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Направления, распределение по территории обслуживаемого района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Площадь обслуживаемого района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 xml:space="preserve">3) Мощность пассажирских потоков. 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Количество используемого транспорта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13) К задачам логистической системы управления пассажирскими перевозками не относится: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 xml:space="preserve">1) стационарные 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аналитические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информационные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специальные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58483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длительности охвата периода методы обследований пассажиропотоков бывают: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временные и постоянные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систематические и разовые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lastRenderedPageBreak/>
        <w:t>3) линейные и цикличные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нет верного варианта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15) К видам обследования пассажиропотоков и их распределения не относятся: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анкетные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косвенные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отчетно-статистические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сплошные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16) Что не включает в себя обследование пассажирских и транспортных потоков в населенном пункте</w:t>
      </w:r>
    </w:p>
    <w:p w:rsidR="007E4407" w:rsidRPr="0058483D" w:rsidRDefault="007E4407" w:rsidP="007E44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обследование расселения жителей относительно мест приложения труда</w:t>
      </w:r>
    </w:p>
    <w:p w:rsidR="007E4407" w:rsidRPr="0058483D" w:rsidRDefault="007E4407" w:rsidP="007E44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обследование интенсивности движения всех видов транспорта на наиболее загруженных магистралях и транспортных узлах</w:t>
      </w:r>
    </w:p>
    <w:p w:rsidR="007E4407" w:rsidRPr="0058483D" w:rsidRDefault="007E4407" w:rsidP="007E44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обследование скоростей движения автотранспортных средств в часы интенсивного движения и в часы спада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Все варианты являются верными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17) Процесс перемещения пассажиров, включающий продажу билетов, формирование пассажиропотоков, посадку и высадку пассажиров и подачу транспортных средств.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Транспортный процесс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Транспортная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Мощность пассажирских потоков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Учетная транспортная подвижность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18) Совокупность операций, при движении транспортного средства от начального пункта маршрута до конечного - это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Цикл транспортного процесса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Рейс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Транспортный процесс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19) Законченный комплекс операций, необходимый для доставки пассажиров – это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Цикл транспортного процесса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Транспортный процесс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Рейс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Пробег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20) Диспетчерская задача логистической системы управления пассажирскими перевозками включает: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1) справочное обеспечение, управление пассажиропотоками и контроль перевозок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2) организация продажи билетов, отдыха и питания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3) анализ, оперативное управление, контроль и принятие решения</w:t>
      </w:r>
    </w:p>
    <w:p w:rsidR="007E4407" w:rsidRPr="0058483D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4) осуществление городских, пригородных, междугородних и международных перевозок</w:t>
      </w:r>
    </w:p>
    <w:p w:rsidR="007E4407" w:rsidRPr="0058483D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07" w:rsidRPr="0058483D" w:rsidRDefault="007E4407" w:rsidP="007E4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21).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К транспорту общего пользования относят (множественный выбор):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lastRenderedPageBreak/>
        <w:t>а) городской транспорт;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б) конвейерный транспорт;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в) транспортно-экспедиционная компания;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г) складской погрузчик.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22)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Транспорт не общего пользования (множественный выбор):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а) является составной частью производственных предприятий и складов;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б) оказывает услуги внешним организациям;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в) не оказывает услуг внешним организациям.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23)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Рациональная организация перевозки приводит (множественный выбор):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а) к уменьшению отрицательных воздействий на окружающую среду;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б) к снижению общих затрат на логистику;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в) к уменьшению длительности цикла обслуживания заказчиков;</w:t>
      </w:r>
    </w:p>
    <w:p w:rsidR="007E4407" w:rsidRPr="0058483D" w:rsidRDefault="007E4407" w:rsidP="007E4407">
      <w:pPr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г) к увеличению общих затрат предприятия.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24)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Выберите вид несуществующего маятникового маршрута: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а) С обратным холостым пробегом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б) С обратным полностью груженым пробегом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в) Без обратного пробега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58483D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58483D">
        <w:rPr>
          <w:rFonts w:ascii="Times New Roman" w:eastAsia="Times New Roman" w:hAnsi="Times New Roman" w:cs="Times New Roman"/>
          <w:b/>
          <w:sz w:val="24"/>
          <w:szCs w:val="24"/>
        </w:rPr>
        <w:t>Кольцевой маршрут - это: </w:t>
      </w:r>
    </w:p>
    <w:p w:rsidR="007E4407" w:rsidRPr="0058483D" w:rsidRDefault="007E4407" w:rsidP="007E4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а) Последовательный развоз продукции без возврата на склад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б) Последовательный объезд пунктов по замкнутому кругу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58483D">
        <w:rPr>
          <w:rFonts w:ascii="Times New Roman" w:eastAsia="Times New Roman" w:hAnsi="Times New Roman" w:cs="Times New Roman"/>
          <w:sz w:val="24"/>
          <w:szCs w:val="24"/>
        </w:rPr>
        <w:t>в) Многократный повтор пробега а/м между двумя конечными пунктам</w:t>
      </w:r>
    </w:p>
    <w:p w:rsidR="007E4407" w:rsidRPr="0058483D" w:rsidRDefault="007E4407" w:rsidP="007E440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58483D" w:rsidRDefault="007E4407" w:rsidP="007E4407"/>
    <w:p w:rsidR="007E4407" w:rsidRPr="007E4407" w:rsidRDefault="007E4407" w:rsidP="007E4407">
      <w:pPr>
        <w:spacing w:after="0" w:line="252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0A7902" w:rsidRPr="000A7902" w:rsidRDefault="000A7902" w:rsidP="000A7902">
      <w:pPr>
        <w:spacing w:after="0"/>
        <w:contextualSpacing/>
        <w:jc w:val="both"/>
        <w:rPr>
          <w:rFonts w:ascii="Times New Roman" w:eastAsia="Times New Roman" w:hAnsi="Times New Roman" w:cs="Calibri"/>
          <w:color w:val="323E4F"/>
          <w:sz w:val="24"/>
          <w:szCs w:val="24"/>
        </w:rPr>
      </w:pPr>
    </w:p>
    <w:p w:rsidR="000A7902" w:rsidRPr="000A7902" w:rsidRDefault="000A7902" w:rsidP="000A7902">
      <w:pPr>
        <w:spacing w:after="0"/>
        <w:contextualSpacing/>
        <w:jc w:val="both"/>
        <w:rPr>
          <w:rFonts w:ascii="Times New Roman" w:eastAsia="Times New Roman" w:hAnsi="Times New Roman" w:cs="Calibri"/>
          <w:color w:val="323E4F"/>
          <w:sz w:val="24"/>
          <w:szCs w:val="24"/>
        </w:rPr>
      </w:pPr>
    </w:p>
    <w:p w:rsidR="00C875B2" w:rsidRPr="000A7902" w:rsidRDefault="00C875B2" w:rsidP="000A7902"/>
    <w:sectPr w:rsidR="00C875B2" w:rsidRPr="000A7902" w:rsidSect="001B122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06"/>
    <w:multiLevelType w:val="hybridMultilevel"/>
    <w:tmpl w:val="55700DD0"/>
    <w:lvl w:ilvl="0" w:tplc="41F0F1DC">
      <w:start w:val="450"/>
      <w:numFmt w:val="decimal"/>
      <w:lvlText w:val="%1"/>
      <w:lvlJc w:val="left"/>
      <w:rPr>
        <w:rFonts w:cs="Times New Roman"/>
      </w:rPr>
    </w:lvl>
    <w:lvl w:ilvl="1" w:tplc="4C56DFBC">
      <w:numFmt w:val="decimal"/>
      <w:lvlText w:val=""/>
      <w:lvlJc w:val="left"/>
      <w:rPr>
        <w:rFonts w:cs="Times New Roman"/>
      </w:rPr>
    </w:lvl>
    <w:lvl w:ilvl="2" w:tplc="E3B667E2">
      <w:numFmt w:val="decimal"/>
      <w:lvlText w:val=""/>
      <w:lvlJc w:val="left"/>
      <w:rPr>
        <w:rFonts w:cs="Times New Roman"/>
      </w:rPr>
    </w:lvl>
    <w:lvl w:ilvl="3" w:tplc="B690619A">
      <w:numFmt w:val="decimal"/>
      <w:lvlText w:val=""/>
      <w:lvlJc w:val="left"/>
      <w:rPr>
        <w:rFonts w:cs="Times New Roman"/>
      </w:rPr>
    </w:lvl>
    <w:lvl w:ilvl="4" w:tplc="AC2A37EE">
      <w:numFmt w:val="decimal"/>
      <w:lvlText w:val=""/>
      <w:lvlJc w:val="left"/>
      <w:rPr>
        <w:rFonts w:cs="Times New Roman"/>
      </w:rPr>
    </w:lvl>
    <w:lvl w:ilvl="5" w:tplc="1C1E1A70">
      <w:numFmt w:val="decimal"/>
      <w:lvlText w:val=""/>
      <w:lvlJc w:val="left"/>
      <w:rPr>
        <w:rFonts w:cs="Times New Roman"/>
      </w:rPr>
    </w:lvl>
    <w:lvl w:ilvl="6" w:tplc="B77829C2">
      <w:numFmt w:val="decimal"/>
      <w:lvlText w:val=""/>
      <w:lvlJc w:val="left"/>
      <w:rPr>
        <w:rFonts w:cs="Times New Roman"/>
      </w:rPr>
    </w:lvl>
    <w:lvl w:ilvl="7" w:tplc="77FA3ADC">
      <w:numFmt w:val="decimal"/>
      <w:lvlText w:val=""/>
      <w:lvlJc w:val="left"/>
      <w:rPr>
        <w:rFonts w:cs="Times New Roman"/>
      </w:rPr>
    </w:lvl>
    <w:lvl w:ilvl="8" w:tplc="93EC55AE">
      <w:numFmt w:val="decimal"/>
      <w:lvlText w:val=""/>
      <w:lvlJc w:val="left"/>
      <w:rPr>
        <w:rFonts w:cs="Times New Roman"/>
      </w:rPr>
    </w:lvl>
  </w:abstractNum>
  <w:abstractNum w:abstractNumId="1">
    <w:nsid w:val="096D4917"/>
    <w:multiLevelType w:val="hybridMultilevel"/>
    <w:tmpl w:val="911EAD3C"/>
    <w:lvl w:ilvl="0" w:tplc="A3BCFBD4">
      <w:start w:val="12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0A7902"/>
    <w:rsid w:val="00761D04"/>
    <w:rsid w:val="007E4407"/>
    <w:rsid w:val="00AC7366"/>
    <w:rsid w:val="00B1416A"/>
    <w:rsid w:val="00C875B2"/>
    <w:rsid w:val="00D21585"/>
    <w:rsid w:val="00D51F2E"/>
    <w:rsid w:val="00E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7E440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7E440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3034</Words>
  <Characters>17299</Characters>
  <Application>Microsoft Office Word</Application>
  <DocSecurity>0</DocSecurity>
  <Lines>144</Lines>
  <Paragraphs>40</Paragraphs>
  <ScaleCrop>false</ScaleCrop>
  <Company>МИИТ</Company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Емельянова Ирина Игоревна</cp:lastModifiedBy>
  <cp:revision>14</cp:revision>
  <dcterms:created xsi:type="dcterms:W3CDTF">2021-06-21T09:41:00Z</dcterms:created>
  <dcterms:modified xsi:type="dcterms:W3CDTF">2023-04-29T13:43:00Z</dcterms:modified>
</cp:coreProperties>
</file>