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41212" w14:textId="77777777" w:rsidR="00FF4844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4C14AF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6610385" w14:textId="4F6880DA" w:rsidR="004C14AF" w:rsidRPr="004C14AF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4AF">
        <w:rPr>
          <w:rFonts w:ascii="Times New Roman" w:hAnsi="Times New Roman"/>
          <w:b/>
          <w:sz w:val="28"/>
          <w:szCs w:val="28"/>
        </w:rPr>
        <w:t>«</w:t>
      </w:r>
      <w:r w:rsidR="00FF4844">
        <w:rPr>
          <w:rFonts w:ascii="Times New Roman" w:hAnsi="Times New Roman"/>
          <w:b/>
          <w:i/>
          <w:iCs/>
          <w:sz w:val="28"/>
          <w:szCs w:val="28"/>
        </w:rPr>
        <w:t>Финансовый менеджмент</w:t>
      </w:r>
      <w:r w:rsidRPr="004C14AF">
        <w:rPr>
          <w:rFonts w:ascii="Times New Roman" w:hAnsi="Times New Roman"/>
          <w:b/>
          <w:sz w:val="28"/>
          <w:szCs w:val="28"/>
        </w:rPr>
        <w:t>»</w:t>
      </w:r>
    </w:p>
    <w:p w14:paraId="12D0CDED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CA888E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10E58E86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51996379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048A0D06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F226084" w14:textId="35FCB985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тестирование проводится с использованием тестов на бумажном носителе; </w:t>
      </w:r>
    </w:p>
    <w:p w14:paraId="6308008D" w14:textId="488EA7F9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14:paraId="2DD7051F" w14:textId="23CED081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C343B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7C9C7739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1996C3F7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47E890C1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40061487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444E65C5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0EA31188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20E45584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51A204CD" w14:textId="5BD7FCDD" w:rsidR="00143783" w:rsidRDefault="00143783" w:rsidP="00143783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удовлетворительно» - обучающийся</w:t>
      </w:r>
      <w:r w:rsidRPr="001437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показал знания по изучаемому материалу.</w:t>
      </w:r>
    </w:p>
    <w:p w14:paraId="50219E8F" w14:textId="77777777" w:rsidR="00143783" w:rsidRDefault="00143783" w:rsidP="001437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8B0F2" w14:textId="1575796B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168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0429286E" w14:textId="0361F4E5" w:rsidR="004C14AF" w:rsidRPr="009168E7" w:rsidRDefault="004C14AF" w:rsidP="001A79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2FF1">
        <w:rPr>
          <w:rStyle w:val="30"/>
          <w:b/>
          <w:sz w:val="28"/>
          <w:szCs w:val="28"/>
        </w:rPr>
        <w:t>Компетенция:</w:t>
      </w:r>
      <w:r w:rsidRPr="00205F38">
        <w:rPr>
          <w:rFonts w:ascii="Times New Roman" w:hAnsi="Times New Roman" w:cs="Times New Roman"/>
          <w:sz w:val="28"/>
          <w:szCs w:val="28"/>
        </w:rPr>
        <w:t xml:space="preserve"> </w:t>
      </w:r>
      <w:r w:rsidR="009168E7">
        <w:rPr>
          <w:rFonts w:ascii="Times New Roman" w:hAnsi="Times New Roman" w:cs="Times New Roman"/>
          <w:sz w:val="28"/>
          <w:szCs w:val="28"/>
        </w:rPr>
        <w:t>О</w:t>
      </w:r>
      <w:r w:rsidR="001A79C4" w:rsidRPr="001A79C4">
        <w:rPr>
          <w:rFonts w:ascii="Times New Roman" w:hAnsi="Times New Roman" w:cs="Times New Roman"/>
          <w:i/>
          <w:iCs/>
          <w:sz w:val="28"/>
          <w:szCs w:val="28"/>
        </w:rPr>
        <w:t>ПК</w:t>
      </w:r>
      <w:r w:rsidR="001A79C4" w:rsidRPr="009168E7">
        <w:rPr>
          <w:rFonts w:ascii="Times New Roman" w:hAnsi="Times New Roman" w:cs="Times New Roman"/>
          <w:sz w:val="28"/>
          <w:szCs w:val="28"/>
        </w:rPr>
        <w:t>-</w:t>
      </w:r>
      <w:r w:rsidR="009168E7" w:rsidRPr="009168E7">
        <w:rPr>
          <w:rFonts w:ascii="Times New Roman" w:hAnsi="Times New Roman" w:cs="Times New Roman"/>
          <w:sz w:val="28"/>
          <w:szCs w:val="28"/>
        </w:rPr>
        <w:t>3</w:t>
      </w:r>
      <w:r w:rsidR="001A79C4" w:rsidRPr="009168E7">
        <w:rPr>
          <w:rFonts w:ascii="Times New Roman" w:hAnsi="Times New Roman" w:cs="Times New Roman"/>
          <w:sz w:val="28"/>
          <w:szCs w:val="28"/>
        </w:rPr>
        <w:t xml:space="preserve"> </w:t>
      </w:r>
      <w:r w:rsidR="009168E7"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Способен к формированию стратегии и тактики финансового менеджмента организаций воздушного транспорта</w:t>
      </w:r>
      <w:r w:rsidRPr="009168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00C8D2" w14:textId="5FFCA285" w:rsidR="004C14AF" w:rsidRPr="00205F38" w:rsidRDefault="004C14AF" w:rsidP="001A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F5B7C" w14:textId="6ABF25A4" w:rsidR="009168E7" w:rsidRPr="009168E7" w:rsidRDefault="009168E7" w:rsidP="009168E7">
      <w:pPr>
        <w:spacing w:after="0" w:line="276" w:lineRule="auto"/>
        <w:ind w:firstLine="603"/>
        <w:jc w:val="both"/>
        <w:rPr>
          <w:rFonts w:ascii="Times New Roman" w:hAnsi="Times New Roman" w:cs="Times New Roman"/>
          <w:bCs/>
          <w:i/>
          <w:iCs/>
          <w:cap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Знает:</w:t>
      </w:r>
    </w:p>
    <w:p w14:paraId="202563E3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основные источники информации и методы оценки и анализа активов, капитала, стоимости, инвестиционных проектов, финансовых рисков; </w:t>
      </w:r>
    </w:p>
    <w:p w14:paraId="5575CC03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основные принципы принятия управленческих решений в финансовой сфере; </w:t>
      </w:r>
    </w:p>
    <w:p w14:paraId="2320730C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- модели, методы и инструменты, используемые в российской и международной практике для эффективного управления финансами предприятия.</w:t>
      </w:r>
    </w:p>
    <w:p w14:paraId="2EEA52AD" w14:textId="77777777" w:rsidR="009168E7" w:rsidRPr="000875AB" w:rsidRDefault="009168E7" w:rsidP="009168E7">
      <w:pPr>
        <w:suppressAutoHyphens/>
        <w:spacing w:after="0" w:line="276" w:lineRule="auto"/>
        <w:ind w:right="-108" w:firstLine="603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6E727CFA" w14:textId="073CA830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875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ет:</w:t>
      </w:r>
    </w:p>
    <w:p w14:paraId="3931839F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рассчитывать основные показатели финансового состояния предприятия; </w:t>
      </w:r>
    </w:p>
    <w:p w14:paraId="3B934DE4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обосновывать стратегические и тактические финансовые решения в области оптимизации структуры источников финансирования; </w:t>
      </w:r>
    </w:p>
    <w:p w14:paraId="1D200995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оценивать риски и доходность финансовых активов, определять эффективность использования финансовых ресурсов предприятия.</w:t>
      </w:r>
    </w:p>
    <w:p w14:paraId="711C663A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698ABBC0" w14:textId="3A74C58C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875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Владе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ет:</w:t>
      </w:r>
    </w:p>
    <w:p w14:paraId="0A51982F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навыками обработки финансовой отчетности и иной финансовой информации;</w:t>
      </w:r>
    </w:p>
    <w:p w14:paraId="7747F7F8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методами и инструментарием финансового планирования и управления финансовыми процессами на предприятии;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14:paraId="1F00EE71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методами и инструментами оценки стоимости и структуры капитала, доходности и риска, операционного и инвестиционного анализа;</w:t>
      </w:r>
    </w:p>
    <w:p w14:paraId="01C81695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навыками формирования финансовой стратегии организации и постановки стратегических задач в области управления финансовой деятельностью компании.</w:t>
      </w:r>
    </w:p>
    <w:p w14:paraId="6C6326EF" w14:textId="4F5C7B34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1886F" w14:textId="77777777"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A117C" w:rsidRPr="00025C43" w14:paraId="4CCC79D3" w14:textId="245B8E32" w:rsidTr="00FA117C">
        <w:trPr>
          <w:trHeight w:val="687"/>
        </w:trPr>
        <w:tc>
          <w:tcPr>
            <w:tcW w:w="9493" w:type="dxa"/>
          </w:tcPr>
          <w:p w14:paraId="0A21B63C" w14:textId="77777777" w:rsidR="00FA117C" w:rsidRPr="00025C43" w:rsidRDefault="00FA117C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A117C" w:rsidRPr="00025C43" w14:paraId="3F57A282" w14:textId="07EF5F71" w:rsidTr="00FA117C">
        <w:tc>
          <w:tcPr>
            <w:tcW w:w="9493" w:type="dxa"/>
          </w:tcPr>
          <w:p w14:paraId="3CBB9EEB" w14:textId="34C337DA" w:rsidR="00FA117C" w:rsidRPr="0014182B" w:rsidRDefault="00FA117C" w:rsidP="005C0B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1. Предприятие вложило 150 тыс. руб. на банковский депозит по ставке 16 % годовых сроком на 5 лет. Какая сумма будет лежать на депозите к концу третьего года, если проценты начисляются по сложной ставке.?</w:t>
            </w:r>
          </w:p>
          <w:p w14:paraId="5B4C2E21" w14:textId="7F0DA8F2" w:rsidR="00FA117C" w:rsidRPr="0014182B" w:rsidRDefault="00FA117C" w:rsidP="005C0B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C5F9DAE" w14:textId="3ECBC5B9" w:rsidR="00FA117C" w:rsidRPr="00092256" w:rsidRDefault="00FA117C" w:rsidP="00370A1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 w:cs="Times New Roman"/>
                <w:sz w:val="24"/>
                <w:szCs w:val="24"/>
              </w:rPr>
              <w:t>234150 руб.</w:t>
            </w:r>
          </w:p>
          <w:p w14:paraId="1B30EBCA" w14:textId="192E5DA5" w:rsidR="00FA117C" w:rsidRPr="00092256" w:rsidRDefault="00FA117C" w:rsidP="00370A1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 w:cs="Times New Roman"/>
                <w:sz w:val="24"/>
                <w:szCs w:val="24"/>
              </w:rPr>
              <w:t>315000 руб.</w:t>
            </w:r>
          </w:p>
          <w:p w14:paraId="3ED2541D" w14:textId="0F042217" w:rsidR="00FA117C" w:rsidRPr="00092256" w:rsidRDefault="00FA117C" w:rsidP="00370A1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 w:cs="Times New Roman"/>
                <w:sz w:val="24"/>
                <w:szCs w:val="24"/>
              </w:rPr>
              <w:t>222000 руб.</w:t>
            </w:r>
          </w:p>
          <w:p w14:paraId="25F1AB10" w14:textId="178BEEEE" w:rsidR="00FA117C" w:rsidRPr="00092256" w:rsidRDefault="00FA117C" w:rsidP="00370A1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256">
              <w:rPr>
                <w:rFonts w:ascii="Times New Roman" w:hAnsi="Times New Roman" w:cs="Times New Roman"/>
                <w:sz w:val="24"/>
                <w:szCs w:val="24"/>
              </w:rPr>
              <w:t xml:space="preserve">270000 руб.   </w:t>
            </w:r>
          </w:p>
          <w:p w14:paraId="53762FF7" w14:textId="433C4613" w:rsidR="00FA117C" w:rsidRPr="0014182B" w:rsidRDefault="00FA117C" w:rsidP="005C0B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7C" w:rsidRPr="00025C43" w14:paraId="06C021A3" w14:textId="3027FC2A" w:rsidTr="00FA117C">
        <w:tc>
          <w:tcPr>
            <w:tcW w:w="9493" w:type="dxa"/>
          </w:tcPr>
          <w:p w14:paraId="1BFD8F21" w14:textId="11E73C2E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2. Что такое бета-коэффициент?</w:t>
            </w:r>
          </w:p>
          <w:p w14:paraId="6968A07B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F7D812C" w14:textId="4926BD8C" w:rsidR="00FA117C" w:rsidRPr="0014182B" w:rsidRDefault="00FA117C" w:rsidP="00370A1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безрисковая доходностью</w:t>
            </w:r>
          </w:p>
          <w:p w14:paraId="1CD14742" w14:textId="07617344" w:rsidR="00FA117C" w:rsidRPr="0014182B" w:rsidRDefault="00FA117C" w:rsidP="00370A1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мера систематического риска акций компании</w:t>
            </w:r>
          </w:p>
          <w:p w14:paraId="23A77363" w14:textId="0202DAF3" w:rsidR="00FA117C" w:rsidRPr="0014182B" w:rsidRDefault="00FA117C" w:rsidP="00370A1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среднерыночная доходность</w:t>
            </w:r>
          </w:p>
          <w:p w14:paraId="4DE94A5C" w14:textId="35A50243" w:rsidR="00FA117C" w:rsidRPr="0014182B" w:rsidRDefault="00FA117C" w:rsidP="00370A1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премия за рыночный риск</w:t>
            </w:r>
          </w:p>
        </w:tc>
      </w:tr>
      <w:bookmarkEnd w:id="0"/>
      <w:tr w:rsidR="00FA117C" w:rsidRPr="00025C43" w14:paraId="5C9BBFCB" w14:textId="1F3931AC" w:rsidTr="00FA117C">
        <w:tc>
          <w:tcPr>
            <w:tcW w:w="9493" w:type="dxa"/>
          </w:tcPr>
          <w:p w14:paraId="5DCB5608" w14:textId="361479B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3. Финансовый менеджмент, как наука – это?</w:t>
            </w:r>
          </w:p>
          <w:p w14:paraId="5CB0566F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20B2130A" w14:textId="5C081151" w:rsidR="00FA117C" w:rsidRPr="0014182B" w:rsidRDefault="00FA117C" w:rsidP="00370A13">
            <w:pPr>
              <w:pStyle w:val="a4"/>
              <w:numPr>
                <w:ilvl w:val="0"/>
                <w:numId w:val="3"/>
              </w:numPr>
              <w:spacing w:after="0"/>
              <w:ind w:left="30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разработка особенностей и принципов менеджмента в условиях нестабильной экономической ситуации</w:t>
            </w:r>
          </w:p>
          <w:p w14:paraId="1D7122FB" w14:textId="7CF5FAC3" w:rsidR="00FA117C" w:rsidRPr="0014182B" w:rsidRDefault="00FA117C" w:rsidP="00370A13">
            <w:pPr>
              <w:pStyle w:val="a4"/>
              <w:numPr>
                <w:ilvl w:val="0"/>
                <w:numId w:val="3"/>
              </w:numPr>
              <w:spacing w:after="0"/>
              <w:ind w:left="30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A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7AE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и методов разработки и реализации управленческих решений, связанных с формированием, распределением и использованием финансовых ресурсов предприятия, и организацией оборота его денежных средств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7B7D9" w14:textId="03A20D98" w:rsidR="00FA117C" w:rsidRPr="0014182B" w:rsidRDefault="00FA117C" w:rsidP="00370A13">
            <w:pPr>
              <w:pStyle w:val="a4"/>
              <w:numPr>
                <w:ilvl w:val="0"/>
                <w:numId w:val="3"/>
              </w:numPr>
              <w:spacing w:after="0"/>
              <w:ind w:left="30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процесс выработки цели управления финансами и осуществление воздействия на них с помощью финансовых методов </w:t>
            </w:r>
          </w:p>
          <w:p w14:paraId="49AE1821" w14:textId="4D29895C" w:rsidR="00FA117C" w:rsidRPr="0014182B" w:rsidRDefault="00FA117C" w:rsidP="00370A13">
            <w:pPr>
              <w:pStyle w:val="a4"/>
              <w:numPr>
                <w:ilvl w:val="0"/>
                <w:numId w:val="3"/>
              </w:numPr>
              <w:spacing w:after="0"/>
              <w:ind w:left="30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вид профессиональной деятельности, направленный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</w:t>
            </w:r>
          </w:p>
        </w:tc>
      </w:tr>
      <w:tr w:rsidR="00FA117C" w:rsidRPr="00025C43" w14:paraId="4074C21C" w14:textId="7D43F9DC" w:rsidTr="00FA117C">
        <w:tc>
          <w:tcPr>
            <w:tcW w:w="9493" w:type="dxa"/>
          </w:tcPr>
          <w:p w14:paraId="7CE17B11" w14:textId="6F7F66F4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 задачам финансового менеджмента относятся все пункты, кроме?</w:t>
            </w:r>
          </w:p>
          <w:p w14:paraId="713B36F4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491B8E8" w14:textId="6DEC2EEB" w:rsidR="00FA117C" w:rsidRPr="0014182B" w:rsidRDefault="00FA117C" w:rsidP="00370A13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оптимизация денежного оборота</w:t>
            </w:r>
          </w:p>
          <w:p w14:paraId="656F5081" w14:textId="3E1C4A90" w:rsidR="00FA117C" w:rsidRPr="0014182B" w:rsidRDefault="00FA117C" w:rsidP="00370A13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финансового равновесия предприятия</w:t>
            </w:r>
          </w:p>
          <w:p w14:paraId="7A7055DA" w14:textId="157CD35C" w:rsidR="00FA117C" w:rsidRPr="0014182B" w:rsidRDefault="00FA117C" w:rsidP="00370A13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максимизация рыночной стоимости предприятия </w:t>
            </w:r>
          </w:p>
          <w:p w14:paraId="5A8ED678" w14:textId="16405E33" w:rsidR="00FA117C" w:rsidRPr="00092256" w:rsidRDefault="00FA117C" w:rsidP="00370A13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достаточного объема финансовых ресурсов в соответствии с задачами развития предприятия в предстоящем периоде</w:t>
            </w:r>
          </w:p>
        </w:tc>
      </w:tr>
      <w:tr w:rsidR="00FA117C" w:rsidRPr="00025C43" w14:paraId="5F527F0E" w14:textId="1C7AC560" w:rsidTr="00FA117C">
        <w:tc>
          <w:tcPr>
            <w:tcW w:w="9493" w:type="dxa"/>
          </w:tcPr>
          <w:p w14:paraId="01760E88" w14:textId="12B25F80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5. Финансовая политика предприятия представляет собой?</w:t>
            </w:r>
          </w:p>
          <w:p w14:paraId="291832FA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CB52D83" w14:textId="2729067C" w:rsidR="00FA117C" w:rsidRPr="0014182B" w:rsidRDefault="00FA117C" w:rsidP="00370A13">
            <w:pPr>
              <w:pStyle w:val="a4"/>
              <w:numPr>
                <w:ilvl w:val="0"/>
                <w:numId w:val="5"/>
              </w:numPr>
              <w:spacing w:after="0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финансовый механизм, являющийся составной частью системы управления производством</w:t>
            </w:r>
          </w:p>
          <w:p w14:paraId="0D9FD196" w14:textId="1D19A11F" w:rsidR="00FA117C" w:rsidRPr="0014182B" w:rsidRDefault="00FA117C" w:rsidP="00370A13">
            <w:pPr>
              <w:pStyle w:val="a4"/>
              <w:numPr>
                <w:ilvl w:val="0"/>
                <w:numId w:val="5"/>
              </w:numPr>
              <w:spacing w:after="0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совокупность сфер финансовых отношений на предприятии</w:t>
            </w:r>
          </w:p>
          <w:p w14:paraId="30D8E457" w14:textId="183A0997" w:rsidR="00FA117C" w:rsidRPr="0014182B" w:rsidRDefault="00FA117C" w:rsidP="00370A13">
            <w:pPr>
              <w:pStyle w:val="a4"/>
              <w:numPr>
                <w:ilvl w:val="0"/>
                <w:numId w:val="5"/>
              </w:numPr>
              <w:spacing w:after="0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предприятия по целенаправленному использованию финансов </w:t>
            </w:r>
          </w:p>
        </w:tc>
      </w:tr>
      <w:tr w:rsidR="00FA117C" w:rsidRPr="00025C43" w14:paraId="42B7C872" w14:textId="77AB6F98" w:rsidTr="00FA117C">
        <w:tc>
          <w:tcPr>
            <w:tcW w:w="9493" w:type="dxa"/>
          </w:tcPr>
          <w:p w14:paraId="0A903CDA" w14:textId="6B6CF75E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6. Финансовая стратегия—это?</w:t>
            </w:r>
          </w:p>
          <w:p w14:paraId="5A7B40A0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EBD5A5D" w14:textId="15E2BB40" w:rsidR="00FA117C" w:rsidRPr="0014182B" w:rsidRDefault="00FA117C" w:rsidP="00370A13">
            <w:pPr>
              <w:pStyle w:val="a4"/>
              <w:numPr>
                <w:ilvl w:val="0"/>
                <w:numId w:val="6"/>
              </w:numPr>
              <w:spacing w:after="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 и методов распределения денежных средств предприятия</w:t>
            </w:r>
          </w:p>
          <w:p w14:paraId="31405D5B" w14:textId="5CF1DC78" w:rsidR="00FA117C" w:rsidRPr="0014182B" w:rsidRDefault="00FA117C" w:rsidP="00370A13">
            <w:pPr>
              <w:pStyle w:val="a4"/>
              <w:numPr>
                <w:ilvl w:val="0"/>
                <w:numId w:val="6"/>
              </w:numPr>
              <w:spacing w:after="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решение задач конкретного этапа развития финансов предприятия</w:t>
            </w:r>
          </w:p>
          <w:p w14:paraId="17335876" w14:textId="11DB9AA8" w:rsidR="00FA117C" w:rsidRPr="0014182B" w:rsidRDefault="00FA117C" w:rsidP="00370A13">
            <w:pPr>
              <w:pStyle w:val="a4"/>
              <w:numPr>
                <w:ilvl w:val="0"/>
                <w:numId w:val="6"/>
              </w:numPr>
              <w:spacing w:after="0"/>
              <w:ind w:left="3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долговременного курса в области финансов,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стратегических целей компании</w:t>
            </w:r>
          </w:p>
        </w:tc>
      </w:tr>
      <w:tr w:rsidR="00FA117C" w:rsidRPr="00025C43" w14:paraId="1D01BAC6" w14:textId="1A2001DB" w:rsidTr="00FA117C">
        <w:tc>
          <w:tcPr>
            <w:tcW w:w="9493" w:type="dxa"/>
            <w:shd w:val="clear" w:color="auto" w:fill="auto"/>
          </w:tcPr>
          <w:p w14:paraId="1EAB59D4" w14:textId="2A6AE9AF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7. Объектом финансового менеджмента являются?</w:t>
            </w:r>
          </w:p>
          <w:p w14:paraId="2EA1E060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83C9FC5" w14:textId="44BF9A51" w:rsidR="00FA117C" w:rsidRPr="0014182B" w:rsidRDefault="00FA117C" w:rsidP="00370A13">
            <w:pPr>
              <w:pStyle w:val="a4"/>
              <w:numPr>
                <w:ilvl w:val="0"/>
                <w:numId w:val="7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основным видам деятельности</w:t>
            </w:r>
          </w:p>
          <w:p w14:paraId="58CA1392" w14:textId="2CD618D0" w:rsidR="00FA117C" w:rsidRPr="0014182B" w:rsidRDefault="00FA117C" w:rsidP="00370A13">
            <w:pPr>
              <w:pStyle w:val="a4"/>
              <w:numPr>
                <w:ilvl w:val="0"/>
                <w:numId w:val="7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доходы от всех видов деятельности</w:t>
            </w:r>
          </w:p>
          <w:p w14:paraId="5B5D9B0F" w14:textId="29F1A069" w:rsidR="00FA117C" w:rsidRPr="0014182B" w:rsidRDefault="00FA117C" w:rsidP="00370A13">
            <w:pPr>
              <w:pStyle w:val="a4"/>
              <w:numPr>
                <w:ilvl w:val="0"/>
                <w:numId w:val="7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правовое и информационное обеспечение, финансовые отношения, финансовые инструменты, финансовые методы и финансовые показатели</w:t>
            </w:r>
          </w:p>
          <w:p w14:paraId="3112722E" w14:textId="68E7D290" w:rsidR="00FA117C" w:rsidRPr="0014182B" w:rsidRDefault="00FA117C" w:rsidP="00370A13">
            <w:pPr>
              <w:pStyle w:val="a4"/>
              <w:numPr>
                <w:ilvl w:val="0"/>
                <w:numId w:val="7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группа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 управление финансами</w:t>
            </w:r>
          </w:p>
          <w:p w14:paraId="12CE0B62" w14:textId="2F901D5B" w:rsidR="00FA117C" w:rsidRPr="0014182B" w:rsidRDefault="00FA117C" w:rsidP="00370A13">
            <w:pPr>
              <w:pStyle w:val="a4"/>
              <w:numPr>
                <w:ilvl w:val="0"/>
                <w:numId w:val="7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формирующиеся в процессе текущей деятельности и осуществления инвестиций </w:t>
            </w:r>
          </w:p>
        </w:tc>
      </w:tr>
      <w:tr w:rsidR="00FA117C" w:rsidRPr="00025C43" w14:paraId="2BF179D0" w14:textId="1F19661C" w:rsidTr="00FA117C">
        <w:tc>
          <w:tcPr>
            <w:tcW w:w="9493" w:type="dxa"/>
          </w:tcPr>
          <w:p w14:paraId="4A5D9713" w14:textId="2738C674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8. К функциям финансового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тся?</w:t>
            </w:r>
          </w:p>
          <w:p w14:paraId="0379A07A" w14:textId="77777777" w:rsidR="00FA117C" w:rsidRPr="0014182B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C42A1E0" w14:textId="60B9037F" w:rsidR="00FA117C" w:rsidRPr="0014182B" w:rsidRDefault="00FA117C" w:rsidP="00370A1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 xml:space="preserve">фискальная функция </w:t>
            </w:r>
          </w:p>
          <w:p w14:paraId="23490DD5" w14:textId="7942427C" w:rsidR="00FA117C" w:rsidRPr="0014182B" w:rsidRDefault="00FA117C" w:rsidP="00370A1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</w:p>
          <w:p w14:paraId="44A456CE" w14:textId="03CF179B" w:rsidR="00FA117C" w:rsidRPr="0014182B" w:rsidRDefault="00FA117C" w:rsidP="00370A1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капиталом</w:t>
            </w:r>
          </w:p>
          <w:p w14:paraId="0631851F" w14:textId="54C6B7BC" w:rsidR="00FA117C" w:rsidRPr="0014182B" w:rsidRDefault="00FA117C" w:rsidP="00370A1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2B">
              <w:rPr>
                <w:rFonts w:ascii="Times New Roman" w:hAnsi="Times New Roman" w:cs="Times New Roman"/>
                <w:sz w:val="24"/>
                <w:szCs w:val="24"/>
              </w:rPr>
              <w:t>управление активами</w:t>
            </w:r>
          </w:p>
        </w:tc>
      </w:tr>
      <w:tr w:rsidR="00FA117C" w:rsidRPr="00025C43" w14:paraId="20CABFDE" w14:textId="3743DBF4" w:rsidTr="00FA117C">
        <w:tc>
          <w:tcPr>
            <w:tcW w:w="9493" w:type="dxa"/>
          </w:tcPr>
          <w:p w14:paraId="10465647" w14:textId="5E076B49" w:rsidR="00FA117C" w:rsidRPr="00705858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9. Основной целью финансового менеджмента является?</w:t>
            </w:r>
          </w:p>
          <w:p w14:paraId="7568A081" w14:textId="77777777" w:rsidR="00FA117C" w:rsidRPr="00705858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0CEE26D" w14:textId="6896392F" w:rsidR="00FA117C" w:rsidRPr="00705858" w:rsidRDefault="00FA117C" w:rsidP="00370A13">
            <w:pPr>
              <w:pStyle w:val="a4"/>
              <w:numPr>
                <w:ilvl w:val="0"/>
                <w:numId w:val="9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минимизация финансовых рисков</w:t>
            </w:r>
          </w:p>
          <w:p w14:paraId="2BD1414F" w14:textId="7FAA0726" w:rsidR="00FA117C" w:rsidRPr="00705858" w:rsidRDefault="00FA117C" w:rsidP="00370A13">
            <w:pPr>
              <w:pStyle w:val="a4"/>
              <w:numPr>
                <w:ilvl w:val="0"/>
                <w:numId w:val="9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</w:t>
            </w:r>
          </w:p>
          <w:p w14:paraId="506A7C54" w14:textId="77777777" w:rsidR="00FA117C" w:rsidRDefault="00FA117C" w:rsidP="00BE225D">
            <w:pPr>
              <w:pStyle w:val="a4"/>
              <w:numPr>
                <w:ilvl w:val="0"/>
                <w:numId w:val="9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рыночной стоимости акций</w:t>
            </w:r>
          </w:p>
          <w:p w14:paraId="2A814E65" w14:textId="30A54C3D" w:rsidR="00FA117C" w:rsidRPr="00BE225D" w:rsidRDefault="00FA117C" w:rsidP="00BE225D">
            <w:pPr>
              <w:pStyle w:val="a4"/>
              <w:numPr>
                <w:ilvl w:val="0"/>
                <w:numId w:val="9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D">
              <w:rPr>
                <w:rFonts w:ascii="Times New Roman" w:hAnsi="Times New Roman" w:cs="Times New Roman"/>
                <w:sz w:val="24"/>
                <w:szCs w:val="24"/>
              </w:rPr>
              <w:t>максимизация</w:t>
            </w:r>
            <w:r w:rsidRPr="00BE2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225D">
              <w:rPr>
                <w:rFonts w:ascii="Times New Roman" w:hAnsi="Times New Roman" w:cs="Times New Roman"/>
                <w:sz w:val="24"/>
                <w:szCs w:val="24"/>
              </w:rPr>
              <w:t>благосостояния акционера (собственника)</w:t>
            </w:r>
          </w:p>
        </w:tc>
      </w:tr>
      <w:tr w:rsidR="00FA117C" w:rsidRPr="00025C43" w14:paraId="78EE3A9F" w14:textId="30A8792E" w:rsidTr="00FA117C">
        <w:tc>
          <w:tcPr>
            <w:tcW w:w="9493" w:type="dxa"/>
          </w:tcPr>
          <w:p w14:paraId="429E05DA" w14:textId="468119FA" w:rsidR="00FA117C" w:rsidRPr="00705858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К финансовым ресурсам относятся?</w:t>
            </w:r>
          </w:p>
          <w:p w14:paraId="43534327" w14:textId="77777777" w:rsidR="00FA117C" w:rsidRPr="00705858" w:rsidRDefault="00FA117C" w:rsidP="001418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B5998C0" w14:textId="4989FC3D" w:rsidR="00FA117C" w:rsidRPr="00705858" w:rsidRDefault="00FA117C" w:rsidP="00370A13">
            <w:pPr>
              <w:pStyle w:val="a4"/>
              <w:numPr>
                <w:ilvl w:val="0"/>
                <w:numId w:val="10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14:paraId="0745C0D1" w14:textId="58151D2B" w:rsidR="00FA117C" w:rsidRPr="00705858" w:rsidRDefault="00FA117C" w:rsidP="00370A13">
            <w:pPr>
              <w:pStyle w:val="a4"/>
              <w:numPr>
                <w:ilvl w:val="0"/>
                <w:numId w:val="10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страховые платежи</w:t>
            </w:r>
          </w:p>
          <w:p w14:paraId="1A02B4D8" w14:textId="31F470E2" w:rsidR="00FA117C" w:rsidRPr="00705858" w:rsidRDefault="00FA117C" w:rsidP="00370A13">
            <w:pPr>
              <w:pStyle w:val="a4"/>
              <w:numPr>
                <w:ilvl w:val="0"/>
                <w:numId w:val="10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фонды, фонды накопления и потребления, национальный доход</w:t>
            </w:r>
          </w:p>
          <w:p w14:paraId="6C186675" w14:textId="4749EAE0" w:rsidR="00FA117C" w:rsidRPr="00705858" w:rsidRDefault="00FA117C" w:rsidP="00370A13">
            <w:pPr>
              <w:pStyle w:val="a4"/>
              <w:numPr>
                <w:ilvl w:val="0"/>
                <w:numId w:val="10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денежные средства, вложенные в основные фонды, нематериальные активы, в оборотные производственные фонды и фонды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полученная </w:t>
            </w:r>
            <w:r w:rsidRPr="0070585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FA117C" w:rsidRPr="00025C43" w14:paraId="76777920" w14:textId="3AA56AD6" w:rsidTr="00FA117C">
        <w:tc>
          <w:tcPr>
            <w:tcW w:w="9493" w:type="dxa"/>
          </w:tcPr>
          <w:p w14:paraId="24CA8F05" w14:textId="29264837" w:rsidR="00FA117C" w:rsidRPr="00015B71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11. К финансовым инструментам НЕ относят?</w:t>
            </w:r>
          </w:p>
          <w:p w14:paraId="2A2E4E4B" w14:textId="5A19A49C" w:rsidR="00FA117C" w:rsidRPr="00015B71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8D7C01E" w14:textId="1D517F30" w:rsidR="00FA117C" w:rsidRPr="00015B71" w:rsidRDefault="00FA117C" w:rsidP="00370A13">
            <w:pPr>
              <w:pStyle w:val="a4"/>
              <w:numPr>
                <w:ilvl w:val="0"/>
                <w:numId w:val="11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другие внешние формы финансирования предприятия </w:t>
            </w:r>
          </w:p>
          <w:p w14:paraId="57F1EE67" w14:textId="6335DC1D" w:rsidR="00FA117C" w:rsidRPr="00015B71" w:rsidRDefault="00FA117C" w:rsidP="00370A13">
            <w:pPr>
              <w:pStyle w:val="a4"/>
              <w:numPr>
                <w:ilvl w:val="0"/>
                <w:numId w:val="11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денежные средства, ценные бумаги, опционы, форварды, фьючерсы, свопы</w:t>
            </w:r>
          </w:p>
          <w:p w14:paraId="7753DC64" w14:textId="6C2DB90E" w:rsidR="00FA117C" w:rsidRPr="00015B71" w:rsidRDefault="00FA117C" w:rsidP="00370A13">
            <w:pPr>
              <w:pStyle w:val="a4"/>
              <w:numPr>
                <w:ilvl w:val="0"/>
                <w:numId w:val="11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инструменты инвестирования (акции, инвестиционные сертификаты и т.п.)</w:t>
            </w:r>
          </w:p>
          <w:p w14:paraId="673AEA54" w14:textId="5643DF7F" w:rsidR="00FA117C" w:rsidRPr="00015B71" w:rsidRDefault="00FA117C" w:rsidP="00370A13">
            <w:pPr>
              <w:pStyle w:val="a4"/>
              <w:numPr>
                <w:ilvl w:val="0"/>
                <w:numId w:val="11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платежные инструменты (платежные поручения, чеки, аккредитивы и т.п.)</w:t>
            </w:r>
          </w:p>
          <w:p w14:paraId="50F51AA5" w14:textId="6CE449A7" w:rsidR="00FA117C" w:rsidRPr="00015B71" w:rsidRDefault="00FA117C" w:rsidP="00370A13">
            <w:pPr>
              <w:pStyle w:val="a4"/>
              <w:numPr>
                <w:ilvl w:val="0"/>
                <w:numId w:val="11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депозитные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 депозитные договоры, депозитные сертификаты и т.п.)</w:t>
            </w:r>
          </w:p>
        </w:tc>
      </w:tr>
      <w:tr w:rsidR="00FA117C" w:rsidRPr="00025C43" w14:paraId="1EF9A3CD" w14:textId="66D1DACA" w:rsidTr="00FA117C">
        <w:tc>
          <w:tcPr>
            <w:tcW w:w="9493" w:type="dxa"/>
          </w:tcPr>
          <w:p w14:paraId="176126A1" w14:textId="60866C61" w:rsidR="00FA117C" w:rsidRPr="00015B71" w:rsidRDefault="00FA117C" w:rsidP="00015B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12. Система показателей, информационного обеспечения финансового менеджмента, формируемых из внешних источников включает:</w:t>
            </w:r>
          </w:p>
          <w:p w14:paraId="7B9C624A" w14:textId="0513B7FF" w:rsidR="00FA117C" w:rsidRPr="00015B71" w:rsidRDefault="00FA117C" w:rsidP="00015B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12084723" w14:textId="77777777" w:rsidR="00FA117C" w:rsidRPr="00015B71" w:rsidRDefault="00FA117C" w:rsidP="00370A1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нормативно-плановые показатели, связанные с финансовым развитием предприятия</w:t>
            </w:r>
          </w:p>
          <w:p w14:paraId="629DD145" w14:textId="58BA3514" w:rsidR="00FA117C" w:rsidRPr="00015B71" w:rsidRDefault="00FA117C" w:rsidP="00370A1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общеэкономическое развитие страны </w:t>
            </w:r>
          </w:p>
          <w:p w14:paraId="5B722FD0" w14:textId="76172D44" w:rsidR="00FA117C" w:rsidRPr="00015B71" w:rsidRDefault="00FA117C" w:rsidP="00370A1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деятельность контрагентов и конкурентов </w:t>
            </w:r>
          </w:p>
          <w:p w14:paraId="0E75AB6F" w14:textId="3F1A193E" w:rsidR="00FA117C" w:rsidRPr="00015B71" w:rsidRDefault="00FA117C" w:rsidP="00370A1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конъюнктуру финансового рынка </w:t>
            </w:r>
          </w:p>
        </w:tc>
      </w:tr>
      <w:tr w:rsidR="00FA117C" w:rsidRPr="00025C43" w14:paraId="2DE3F16E" w14:textId="32DB5DAB" w:rsidTr="00FA117C">
        <w:tc>
          <w:tcPr>
            <w:tcW w:w="9493" w:type="dxa"/>
          </w:tcPr>
          <w:p w14:paraId="10D19602" w14:textId="35247E28" w:rsidR="00FA117C" w:rsidRPr="00015B71" w:rsidRDefault="00FA117C" w:rsidP="00015B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13. Система показателей, информационного обеспечения финансового менеджмента, формируемых из внутренних источников включает все пункты, кроме?</w:t>
            </w:r>
          </w:p>
          <w:p w14:paraId="24CCD495" w14:textId="34751597" w:rsidR="00FA117C" w:rsidRPr="00015B71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622C049" w14:textId="77777777" w:rsidR="00FA117C" w:rsidRPr="00015B71" w:rsidRDefault="00FA117C" w:rsidP="00370A1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система внутренних нормативов, регулирующих финансовое развитие предприятия</w:t>
            </w:r>
          </w:p>
          <w:p w14:paraId="3E378C4F" w14:textId="0A300746" w:rsidR="00FA117C" w:rsidRPr="00015B71" w:rsidRDefault="00FA117C" w:rsidP="00370A1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финансовое состояние и результаты финансовой деятельности по предприятию в целом</w:t>
            </w:r>
          </w:p>
          <w:p w14:paraId="740E79BA" w14:textId="206C120C" w:rsidR="00FA117C" w:rsidRPr="00015B71" w:rsidRDefault="00FA117C" w:rsidP="00370A1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конъюнктуру финансового рынка </w:t>
            </w:r>
          </w:p>
          <w:p w14:paraId="29829A6D" w14:textId="3E277F93" w:rsidR="00FA117C" w:rsidRPr="00015B71" w:rsidRDefault="00FA117C" w:rsidP="00370A1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финансовые результаты деятельности отдельных структурных подразделений предприятия</w:t>
            </w:r>
          </w:p>
        </w:tc>
      </w:tr>
      <w:tr w:rsidR="00FA117C" w:rsidRPr="00025C43" w14:paraId="03F15795" w14:textId="712F3E3F" w:rsidTr="00FA117C">
        <w:tc>
          <w:tcPr>
            <w:tcW w:w="9493" w:type="dxa"/>
          </w:tcPr>
          <w:p w14:paraId="6590F9B9" w14:textId="0C88A30F" w:rsidR="00FA117C" w:rsidRPr="00015B71" w:rsidRDefault="00FA117C" w:rsidP="00015B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14. В активе бухгалтерского баланса отражается... (продолжите фразу).</w:t>
            </w:r>
          </w:p>
          <w:p w14:paraId="7BE12781" w14:textId="4D3AD883" w:rsidR="00FA117C" w:rsidRPr="00015B71" w:rsidRDefault="00FA117C" w:rsidP="00015B7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18C8EE9" w14:textId="77777777" w:rsidR="00FA117C" w:rsidRPr="00015B71" w:rsidRDefault="00FA117C" w:rsidP="00370A13">
            <w:pPr>
              <w:pStyle w:val="a4"/>
              <w:numPr>
                <w:ilvl w:val="0"/>
                <w:numId w:val="14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  <w:p w14:paraId="58534607" w14:textId="15686859" w:rsidR="00FA117C" w:rsidRPr="00015B71" w:rsidRDefault="00FA117C" w:rsidP="00370A13">
            <w:pPr>
              <w:pStyle w:val="a4"/>
              <w:numPr>
                <w:ilvl w:val="0"/>
                <w:numId w:val="14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  <w:p w14:paraId="0DB25C07" w14:textId="383A0F18" w:rsidR="00FA117C" w:rsidRPr="00015B71" w:rsidRDefault="00FA117C" w:rsidP="00370A13">
            <w:pPr>
              <w:pStyle w:val="a4"/>
              <w:numPr>
                <w:ilvl w:val="0"/>
                <w:numId w:val="14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величина источников финансирования имущества</w:t>
            </w:r>
          </w:p>
          <w:p w14:paraId="3CF9A01C" w14:textId="1C7CA328" w:rsidR="00FA117C" w:rsidRPr="00015B71" w:rsidRDefault="00FA117C" w:rsidP="00370A13">
            <w:pPr>
              <w:pStyle w:val="a4"/>
              <w:numPr>
                <w:ilvl w:val="0"/>
                <w:numId w:val="14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предприятия </w:t>
            </w:r>
          </w:p>
        </w:tc>
      </w:tr>
      <w:tr w:rsidR="00FA117C" w:rsidRPr="00025C43" w14:paraId="116356B5" w14:textId="4596593A" w:rsidTr="00FA117C">
        <w:tc>
          <w:tcPr>
            <w:tcW w:w="9493" w:type="dxa"/>
          </w:tcPr>
          <w:p w14:paraId="0A1142BF" w14:textId="70E43DC7" w:rsidR="00FA117C" w:rsidRPr="00015B71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15. В пассиве бухгалтерского баланса отражается... (продолжите фразу).</w:t>
            </w:r>
          </w:p>
          <w:p w14:paraId="0ACA206B" w14:textId="191E7146" w:rsidR="00FA117C" w:rsidRPr="00015B71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6A52C05" w14:textId="77777777" w:rsidR="00FA117C" w:rsidRPr="00015B71" w:rsidRDefault="00FA117C" w:rsidP="00370A13">
            <w:pPr>
              <w:pStyle w:val="a4"/>
              <w:numPr>
                <w:ilvl w:val="0"/>
                <w:numId w:val="15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предприятия</w:t>
            </w:r>
          </w:p>
          <w:p w14:paraId="3996B533" w14:textId="7FE61EEE" w:rsidR="00FA117C" w:rsidRPr="00015B71" w:rsidRDefault="00FA117C" w:rsidP="00370A13">
            <w:pPr>
              <w:pStyle w:val="a4"/>
              <w:numPr>
                <w:ilvl w:val="0"/>
                <w:numId w:val="15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  <w:p w14:paraId="65B24941" w14:textId="7225D229" w:rsidR="00FA117C" w:rsidRPr="00015B71" w:rsidRDefault="00FA117C" w:rsidP="00370A13">
            <w:pPr>
              <w:pStyle w:val="a4"/>
              <w:numPr>
                <w:ilvl w:val="0"/>
                <w:numId w:val="15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величина источников финансирования имущества</w:t>
            </w:r>
          </w:p>
          <w:p w14:paraId="16141598" w14:textId="165BF1DB" w:rsidR="00FA117C" w:rsidRPr="00B462B0" w:rsidRDefault="00FA117C" w:rsidP="00370A13">
            <w:pPr>
              <w:pStyle w:val="a4"/>
              <w:numPr>
                <w:ilvl w:val="0"/>
                <w:numId w:val="15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краткосрочная задолженность</w:t>
            </w:r>
          </w:p>
        </w:tc>
      </w:tr>
      <w:tr w:rsidR="00FA117C" w:rsidRPr="00025C43" w14:paraId="04BA621F" w14:textId="2D7F27FC" w:rsidTr="00FA117C">
        <w:tc>
          <w:tcPr>
            <w:tcW w:w="9493" w:type="dxa"/>
          </w:tcPr>
          <w:p w14:paraId="58F52183" w14:textId="6DB65DD4" w:rsidR="00FA117C" w:rsidRPr="00B462B0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16. Чистая прибыль – это.</w:t>
            </w:r>
          </w:p>
          <w:p w14:paraId="2B16FC4A" w14:textId="77777777" w:rsidR="00FA117C" w:rsidRPr="00015B71" w:rsidRDefault="00FA117C" w:rsidP="00B462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2CB0E49" w14:textId="77777777" w:rsidR="00FA117C" w:rsidRPr="00B462B0" w:rsidRDefault="00FA117C" w:rsidP="00370A13">
            <w:pPr>
              <w:pStyle w:val="a4"/>
              <w:numPr>
                <w:ilvl w:val="0"/>
                <w:numId w:val="16"/>
              </w:numPr>
              <w:spacing w:after="0"/>
              <w:ind w:left="313" w:hanging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 до вычета налогов</w:t>
            </w:r>
          </w:p>
          <w:p w14:paraId="62EFC455" w14:textId="121403CC" w:rsidR="00FA117C" w:rsidRPr="00B462B0" w:rsidRDefault="00FA117C" w:rsidP="00370A13">
            <w:pPr>
              <w:pStyle w:val="a4"/>
              <w:numPr>
                <w:ilvl w:val="0"/>
                <w:numId w:val="16"/>
              </w:numPr>
              <w:spacing w:after="0"/>
              <w:ind w:left="313" w:hanging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балансовая прибыль</w:t>
            </w:r>
          </w:p>
          <w:p w14:paraId="234BEB77" w14:textId="4A6EF825" w:rsidR="00FA117C" w:rsidRPr="00B462B0" w:rsidRDefault="00FA117C" w:rsidP="00370A13">
            <w:pPr>
              <w:pStyle w:val="a4"/>
              <w:numPr>
                <w:ilvl w:val="0"/>
                <w:numId w:val="16"/>
              </w:numPr>
              <w:spacing w:after="0"/>
              <w:ind w:left="313" w:hanging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валовая прибыль за вычетом НДС и акцизов</w:t>
            </w:r>
          </w:p>
          <w:p w14:paraId="7B583412" w14:textId="074561E6" w:rsidR="00FA117C" w:rsidRPr="00B462B0" w:rsidRDefault="00FA117C" w:rsidP="00370A13">
            <w:pPr>
              <w:pStyle w:val="a4"/>
              <w:numPr>
                <w:ilvl w:val="0"/>
                <w:numId w:val="16"/>
              </w:numPr>
              <w:spacing w:after="0"/>
              <w:ind w:left="313" w:hanging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 за вычетом налога на прибыль</w:t>
            </w:r>
          </w:p>
        </w:tc>
      </w:tr>
      <w:tr w:rsidR="00FA117C" w:rsidRPr="00025C43" w14:paraId="2412CE18" w14:textId="2CBEA591" w:rsidTr="00FA117C">
        <w:tc>
          <w:tcPr>
            <w:tcW w:w="9493" w:type="dxa"/>
          </w:tcPr>
          <w:p w14:paraId="2812AE3D" w14:textId="260A276F" w:rsidR="00FA117C" w:rsidRPr="00B462B0" w:rsidRDefault="00FA117C" w:rsidP="00B462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Рентабельность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 — это?</w:t>
            </w:r>
          </w:p>
          <w:p w14:paraId="2BD96439" w14:textId="77777777" w:rsidR="00FA117C" w:rsidRPr="00015B71" w:rsidRDefault="00FA117C" w:rsidP="00B462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CA4E717" w14:textId="77777777" w:rsidR="00FA117C" w:rsidRPr="00B462B0" w:rsidRDefault="00FA117C" w:rsidP="00370A13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отношение выручки от реализации продукции к прибыли от реализации продукции</w:t>
            </w:r>
          </w:p>
          <w:p w14:paraId="7C94D5A4" w14:textId="2E48060B" w:rsidR="00FA117C" w:rsidRPr="00B462B0" w:rsidRDefault="00FA117C" w:rsidP="00370A13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прибыли от производства и реализации продукции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коммерческим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 затратам </w:t>
            </w:r>
          </w:p>
          <w:p w14:paraId="74D4E352" w14:textId="38BEBE39" w:rsidR="00FA117C" w:rsidRPr="00B462B0" w:rsidRDefault="00FA117C" w:rsidP="00370A13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чистой прибыли к полной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активов</w:t>
            </w:r>
          </w:p>
          <w:p w14:paraId="29680487" w14:textId="30E2FCF0" w:rsidR="00FA117C" w:rsidRPr="00B462B0" w:rsidRDefault="00FA117C" w:rsidP="00370A13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отношение прибыли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продаж к выручке от продаж</w:t>
            </w:r>
          </w:p>
        </w:tc>
      </w:tr>
      <w:tr w:rsidR="00FA117C" w:rsidRPr="00025C43" w14:paraId="6037703D" w14:textId="13E9EFFC" w:rsidTr="00FA117C">
        <w:tc>
          <w:tcPr>
            <w:tcW w:w="9493" w:type="dxa"/>
          </w:tcPr>
          <w:p w14:paraId="4FC8A339" w14:textId="2BDFE70C" w:rsidR="00FA117C" w:rsidRPr="00B462B0" w:rsidRDefault="00FA117C" w:rsidP="004455D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18. В основе расчета всех относительных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оборачиваемости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1BF97CB2" w14:textId="77777777" w:rsidR="00FA117C" w:rsidRPr="00015B71" w:rsidRDefault="00FA117C" w:rsidP="00B462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686A4D6" w14:textId="243992B3" w:rsidR="00FA117C" w:rsidRPr="00B462B0" w:rsidRDefault="00FA117C" w:rsidP="00370A13">
            <w:pPr>
              <w:pStyle w:val="a4"/>
              <w:numPr>
                <w:ilvl w:val="0"/>
                <w:numId w:val="18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валовая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 чистая прибыль </w:t>
            </w:r>
          </w:p>
          <w:p w14:paraId="266E9BE8" w14:textId="59DB6A7B" w:rsidR="00FA117C" w:rsidRPr="00B462B0" w:rsidRDefault="00FA117C" w:rsidP="00370A13">
            <w:pPr>
              <w:pStyle w:val="a4"/>
              <w:numPr>
                <w:ilvl w:val="0"/>
                <w:numId w:val="18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налогообложения </w:t>
            </w:r>
          </w:p>
          <w:p w14:paraId="7C5FD7FD" w14:textId="63A914ED" w:rsidR="00FA117C" w:rsidRPr="00B462B0" w:rsidRDefault="00FA117C" w:rsidP="00370A13">
            <w:pPr>
              <w:pStyle w:val="a4"/>
              <w:numPr>
                <w:ilvl w:val="0"/>
                <w:numId w:val="18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продаж</w:t>
            </w:r>
          </w:p>
          <w:p w14:paraId="34567273" w14:textId="3E927C4C" w:rsidR="00FA117C" w:rsidRPr="00B462B0" w:rsidRDefault="00FA117C" w:rsidP="00370A13">
            <w:pPr>
              <w:pStyle w:val="a4"/>
              <w:numPr>
                <w:ilvl w:val="0"/>
                <w:numId w:val="18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ованной 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</w:p>
        </w:tc>
      </w:tr>
      <w:tr w:rsidR="00FA117C" w:rsidRPr="00025C43" w14:paraId="2035E224" w14:textId="270F2D1B" w:rsidTr="00FA117C">
        <w:tc>
          <w:tcPr>
            <w:tcW w:w="9493" w:type="dxa"/>
          </w:tcPr>
          <w:p w14:paraId="5A6EBA96" w14:textId="7BA960BB" w:rsidR="00FA117C" w:rsidRPr="00B462B0" w:rsidRDefault="00FA117C" w:rsidP="007E4C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 ликвидность оборотных активов в целом</w:t>
            </w: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FEC3B5C" w14:textId="34988CDA" w:rsidR="00FA117C" w:rsidRPr="00B462B0" w:rsidRDefault="00FA117C" w:rsidP="007E4C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BDBD22B" w14:textId="2014D1B3" w:rsidR="00FA117C" w:rsidRPr="00B462B0" w:rsidRDefault="00FA117C" w:rsidP="00370A13">
            <w:pPr>
              <w:pStyle w:val="a4"/>
              <w:numPr>
                <w:ilvl w:val="0"/>
                <w:numId w:val="19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  <w:p w14:paraId="6AA95564" w14:textId="50FF03D3" w:rsidR="00FA117C" w:rsidRPr="00B462B0" w:rsidRDefault="00FA117C" w:rsidP="00BC6BCD">
            <w:pPr>
              <w:pStyle w:val="a4"/>
              <w:numPr>
                <w:ilvl w:val="0"/>
                <w:numId w:val="19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</w:t>
            </w:r>
          </w:p>
          <w:p w14:paraId="662F278C" w14:textId="403EFB5A" w:rsidR="00FA117C" w:rsidRPr="00BC6BCD" w:rsidRDefault="00FA117C" w:rsidP="00BC6BCD">
            <w:pPr>
              <w:pStyle w:val="a4"/>
              <w:numPr>
                <w:ilvl w:val="0"/>
                <w:numId w:val="19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</w:tr>
      <w:tr w:rsidR="00FA117C" w:rsidRPr="00025C43" w14:paraId="0316E264" w14:textId="6361C3DF" w:rsidTr="00FA117C">
        <w:tc>
          <w:tcPr>
            <w:tcW w:w="9493" w:type="dxa"/>
          </w:tcPr>
          <w:p w14:paraId="7C44B19C" w14:textId="59C550C0" w:rsidR="00FA117C" w:rsidRPr="00B462B0" w:rsidRDefault="00FA117C" w:rsidP="007E4C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20. К наиболее ликвидным активам относятся?</w:t>
            </w:r>
          </w:p>
          <w:p w14:paraId="6A6CC6D8" w14:textId="77777777" w:rsidR="00FA117C" w:rsidRPr="00B462B0" w:rsidRDefault="00FA117C" w:rsidP="00B462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AB16CD4" w14:textId="77777777" w:rsidR="00FA117C" w:rsidRPr="00B462B0" w:rsidRDefault="00FA117C" w:rsidP="00370A13">
            <w:pPr>
              <w:pStyle w:val="a4"/>
              <w:numPr>
                <w:ilvl w:val="0"/>
                <w:numId w:val="20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запасы и долгосрочные финансовые вложения</w:t>
            </w:r>
          </w:p>
          <w:p w14:paraId="53A8C99F" w14:textId="3B91BAA8" w:rsidR="00FA117C" w:rsidRPr="00B462B0" w:rsidRDefault="00FA117C" w:rsidP="00370A13">
            <w:pPr>
              <w:pStyle w:val="a4"/>
              <w:numPr>
                <w:ilvl w:val="0"/>
                <w:numId w:val="20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и прочие активы</w:t>
            </w:r>
          </w:p>
          <w:p w14:paraId="0D4BB2FB" w14:textId="2C44B41C" w:rsidR="00FA117C" w:rsidRPr="00B462B0" w:rsidRDefault="00FA117C" w:rsidP="00370A13">
            <w:pPr>
              <w:pStyle w:val="a4"/>
              <w:numPr>
                <w:ilvl w:val="0"/>
                <w:numId w:val="20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 и денежные средства</w:t>
            </w:r>
          </w:p>
          <w:p w14:paraId="0AC3C7D3" w14:textId="0450561C" w:rsidR="00FA117C" w:rsidRPr="00B462B0" w:rsidRDefault="00FA117C" w:rsidP="00370A13">
            <w:pPr>
              <w:pStyle w:val="a4"/>
              <w:numPr>
                <w:ilvl w:val="0"/>
                <w:numId w:val="20"/>
              </w:numPr>
              <w:spacing w:after="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B0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дебиторская задолженность</w:t>
            </w:r>
          </w:p>
        </w:tc>
      </w:tr>
    </w:tbl>
    <w:p w14:paraId="5F639BFC" w14:textId="6E0D94AB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E315A" w14:textId="3A139FD8" w:rsidR="00C4705A" w:rsidRDefault="00C4705A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4077F" w14:textId="2EB102F0" w:rsidR="00025C43" w:rsidRPr="00CB44A4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B44A4">
        <w:rPr>
          <w:rFonts w:ascii="Times New Roman" w:hAnsi="Times New Roman" w:cs="Times New Roman"/>
          <w:b/>
          <w:bCs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A117C" w:rsidRPr="00025C43" w14:paraId="4834420C" w14:textId="614D9F77" w:rsidTr="00FA117C">
        <w:tc>
          <w:tcPr>
            <w:tcW w:w="9493" w:type="dxa"/>
          </w:tcPr>
          <w:p w14:paraId="2E0E74E2" w14:textId="77777777" w:rsidR="00FA117C" w:rsidRPr="00C14361" w:rsidRDefault="00FA117C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A117C" w:rsidRPr="00025C43" w14:paraId="06E93622" w14:textId="58B7ABE2" w:rsidTr="00FA117C">
        <w:tc>
          <w:tcPr>
            <w:tcW w:w="9493" w:type="dxa"/>
          </w:tcPr>
          <w:p w14:paraId="17D69676" w14:textId="0A737E37" w:rsidR="00FA117C" w:rsidRPr="004943F1" w:rsidRDefault="00FA117C" w:rsidP="00494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Какова цель финансового менеджмента в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рамках существующих теорий организации бизнеса (</w:t>
            </w:r>
            <w:proofErr w:type="spellStart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proofErr w:type="spellEnd"/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известно, что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на первое место могут вставать разные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аиболее распространенным является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которому главная цель это…?</w:t>
            </w:r>
          </w:p>
        </w:tc>
      </w:tr>
      <w:tr w:rsidR="00FA117C" w:rsidRPr="00025C43" w14:paraId="0252DF7C" w14:textId="4118299A" w:rsidTr="00FA117C">
        <w:tc>
          <w:tcPr>
            <w:tcW w:w="9493" w:type="dxa"/>
          </w:tcPr>
          <w:p w14:paraId="6EDBFFC6" w14:textId="4440195F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вид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 финансового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финансовую отчетность самого предприятия</w:t>
            </w:r>
          </w:p>
        </w:tc>
      </w:tr>
      <w:tr w:rsidR="00FA117C" w:rsidRPr="00025C43" w14:paraId="5A7E1437" w14:textId="55867BFC" w:rsidTr="00FA117C">
        <w:tc>
          <w:tcPr>
            <w:tcW w:w="9493" w:type="dxa"/>
          </w:tcPr>
          <w:p w14:paraId="38E59013" w14:textId="19BFEF5E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вид финансового анализа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базируется на сопоставлении значений отдельных групп аналогичных показателей между собой. По данным отчетности можно рассчитать ряд аналитических показателей, однако это не даст точной картины, если их не с чем будет сравнить. Поэтому обзор должен быть дополнен сравнением аналогичных показателей по предприятиям-конкурентам, среднеотраслевыми показателями, сравнительным анализом финансовых показателей отдельных структурных единиц, в сопоставлении с плановыми показателями</w:t>
            </w:r>
          </w:p>
        </w:tc>
      </w:tr>
      <w:tr w:rsidR="00FA117C" w:rsidRPr="00025C43" w14:paraId="0CA7D1C2" w14:textId="348E3F80" w:rsidTr="00FA117C">
        <w:tc>
          <w:tcPr>
            <w:tcW w:w="9493" w:type="dxa"/>
          </w:tcPr>
          <w:p w14:paraId="52898E36" w14:textId="6FF471A2" w:rsidR="00FA117C" w:rsidRPr="00CB44A4" w:rsidRDefault="00FA117C" w:rsidP="004943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из 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о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боротны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, без учета долгосрочной дебиторской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раткосрочны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64408296" w14:textId="0221824A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17C" w:rsidRPr="00025C43" w14:paraId="1F928198" w14:textId="7D8A1805" w:rsidTr="00FA117C">
        <w:tc>
          <w:tcPr>
            <w:tcW w:w="9493" w:type="dxa"/>
          </w:tcPr>
          <w:p w14:paraId="4E4B66CA" w14:textId="548E755B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оценки финансовой устойчивости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как отношение прибыли от продаж к процентам к уплате</w:t>
            </w:r>
          </w:p>
        </w:tc>
      </w:tr>
      <w:tr w:rsidR="00FA117C" w:rsidRPr="00025C43" w14:paraId="2D05763F" w14:textId="64F0BDBC" w:rsidTr="00FA117C">
        <w:tc>
          <w:tcPr>
            <w:tcW w:w="9493" w:type="dxa"/>
          </w:tcPr>
          <w:p w14:paraId="4E75D351" w14:textId="410EAE1C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распределения прибыли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сумма чистой прибыли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полученная после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из неё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чистой прибыли 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44A4">
              <w:rPr>
                <w:rFonts w:ascii="Times New Roman" w:hAnsi="Times New Roman" w:cs="Times New Roman"/>
                <w:sz w:val="24"/>
                <w:szCs w:val="24"/>
              </w:rPr>
              <w:t xml:space="preserve"> в резервный и другие обязательные фонды специального назначения, предусмотренные уставом общества</w:t>
            </w:r>
          </w:p>
        </w:tc>
      </w:tr>
      <w:tr w:rsidR="00FA117C" w:rsidRPr="00025C43" w14:paraId="2D892EA7" w14:textId="14C005F6" w:rsidTr="00FA117C">
        <w:tc>
          <w:tcPr>
            <w:tcW w:w="9493" w:type="dxa"/>
          </w:tcPr>
          <w:p w14:paraId="37564FE9" w14:textId="1DD0AB0A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какой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дивидендной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выплату дивидендов всегда направляется один и тот же процент от чистой прибыли полученной компанией.</w:t>
            </w:r>
          </w:p>
        </w:tc>
      </w:tr>
      <w:tr w:rsidR="00FA117C" w:rsidRPr="00025C43" w14:paraId="33D8B31D" w14:textId="20CCE69A" w:rsidTr="00FA117C">
        <w:tc>
          <w:tcPr>
            <w:tcW w:w="9493" w:type="dxa"/>
          </w:tcPr>
          <w:p w14:paraId="6FBEAEB3" w14:textId="6DAF8865" w:rsidR="00FA117C" w:rsidRPr="00C14361" w:rsidRDefault="00FA117C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вид капитала характеризуется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более высокой способностью генерировать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обеспечением финансовой устойчивости развития корпорации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более высок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в сравнении с альтернативными заемными источниками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нереализуем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прироста рентабельности собственного капитала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эффекта финансового рычага</w:t>
            </w:r>
          </w:p>
        </w:tc>
      </w:tr>
      <w:tr w:rsidR="00FA117C" w:rsidRPr="00025C43" w14:paraId="1D8CEFE9" w14:textId="6BE3ED66" w:rsidTr="00FA117C">
        <w:tc>
          <w:tcPr>
            <w:tcW w:w="9493" w:type="dxa"/>
          </w:tcPr>
          <w:p w14:paraId="53FAAD35" w14:textId="3C201615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показателей финансовой деятельности компании который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часть прибыли, которая должна быть уплачена за использование сформированного или привлеченного нового капитала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выступает минимальной нормой формирования прибыли предприятия, нижней границей при планировании ее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17C" w:rsidRPr="00025C43" w14:paraId="4097B75F" w14:textId="7289791B" w:rsidTr="00FA117C">
        <w:tc>
          <w:tcPr>
            <w:tcW w:w="9493" w:type="dxa"/>
          </w:tcPr>
          <w:p w14:paraId="3751184C" w14:textId="621F26F2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наиболее короткое 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содержание понятия «капитал»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 </w:t>
            </w:r>
            <w:r w:rsidRPr="00D630D6">
              <w:rPr>
                <w:rFonts w:ascii="Times New Roman" w:hAnsi="Times New Roman" w:cs="Times New Roman"/>
                <w:sz w:val="24"/>
                <w:szCs w:val="24"/>
              </w:rPr>
              <w:t>Карл Маркс</w:t>
            </w:r>
          </w:p>
        </w:tc>
      </w:tr>
      <w:tr w:rsidR="00FA117C" w:rsidRPr="00025C43" w14:paraId="662AE140" w14:textId="28ADE00C" w:rsidTr="00FA117C">
        <w:tc>
          <w:tcPr>
            <w:tcW w:w="9493" w:type="dxa"/>
          </w:tcPr>
          <w:p w14:paraId="41631128" w14:textId="25D55A97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11. 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элемент формулы эффекта финансового рычага, представляющий собой разницу между рентабельностью активов и средней процентной ставкой по кредитам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17C" w:rsidRPr="00025C43" w14:paraId="6CCB4D51" w14:textId="07606D33" w:rsidTr="00FA117C">
        <w:tc>
          <w:tcPr>
            <w:tcW w:w="9493" w:type="dxa"/>
          </w:tcPr>
          <w:p w14:paraId="01D7A4E3" w14:textId="50283511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с</w:t>
            </w:r>
            <w:r w:rsidRPr="00D227F3">
              <w:rPr>
                <w:rFonts w:ascii="Times New Roman" w:hAnsi="Times New Roman" w:cs="Times New Roman"/>
                <w:sz w:val="24"/>
                <w:szCs w:val="24"/>
              </w:rPr>
              <w:t xml:space="preserve">истема планирования финансовой деятельности базируется на разработанной финансовой стратегии и финансовой политике по отдельным аспектам финансовой деятельности. Это планирование состоит в разработке конкретных видов текущих финансовых планов, которые позволяют определить на предстоящий период все источники финансирования развития предприятия, сформировать структуру его доходов и затрат, обеспечить постоянную платежеспособность предприятия, предопределить структуру его активов и капитала на конец планируемого периода. </w:t>
            </w:r>
          </w:p>
        </w:tc>
      </w:tr>
      <w:tr w:rsidR="00FA117C" w:rsidRPr="00025C43" w14:paraId="2AFA3206" w14:textId="44EBE252" w:rsidTr="00FA117C">
        <w:tc>
          <w:tcPr>
            <w:tcW w:w="9493" w:type="dxa"/>
          </w:tcPr>
          <w:p w14:paraId="30E5FB97" w14:textId="0B1B3DE8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13. Укажите </w:t>
            </w:r>
            <w:r w:rsidRPr="00D227F3">
              <w:rPr>
                <w:rFonts w:ascii="Times New Roman" w:hAnsi="Times New Roman" w:cs="Times New Roman"/>
                <w:sz w:val="24"/>
                <w:szCs w:val="24"/>
              </w:rPr>
              <w:t>три принципиальных подхода к формированию оборотных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предприятия:</w:t>
            </w:r>
          </w:p>
        </w:tc>
      </w:tr>
      <w:tr w:rsidR="00FA117C" w:rsidRPr="004251F8" w14:paraId="486CB10D" w14:textId="0DFD4CE2" w:rsidTr="00FA117C">
        <w:tc>
          <w:tcPr>
            <w:tcW w:w="9493" w:type="dxa"/>
          </w:tcPr>
          <w:p w14:paraId="40DF86F5" w14:textId="2E18AD6E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оценки будущей стоимости с учетом временного фактора, на котором основаны динамические методы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оценки инвестиционных проектов</w:t>
            </w:r>
          </w:p>
        </w:tc>
      </w:tr>
      <w:tr w:rsidR="00FA117C" w:rsidRPr="00025C43" w14:paraId="0037C64B" w14:textId="13DE4BF8" w:rsidTr="00FA117C">
        <w:tc>
          <w:tcPr>
            <w:tcW w:w="9493" w:type="dxa"/>
          </w:tcPr>
          <w:p w14:paraId="5450FDC4" w14:textId="6C1902CB" w:rsidR="00FA117C" w:rsidRPr="00C14361" w:rsidRDefault="00FA117C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1F8">
              <w:rPr>
                <w:rFonts w:ascii="Times New Roman" w:hAnsi="Times New Roman" w:cs="Times New Roman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рисков, при котором о</w:t>
            </w:r>
            <w:r w:rsidRPr="00D227F3">
              <w:rPr>
                <w:rFonts w:ascii="Times New Roman" w:hAnsi="Times New Roman" w:cs="Times New Roman"/>
                <w:sz w:val="24"/>
                <w:szCs w:val="24"/>
              </w:rPr>
              <w:t>бычно разрабатываются несколько сценариев развития проекта, чаще всего ограничиваются оптимистичным, пессимистичным и реалистичным сценариями</w:t>
            </w: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0DFEB0" w14:textId="76EE48D2" w:rsidR="00637959" w:rsidRDefault="00637959" w:rsidP="00C1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B3"/>
    <w:multiLevelType w:val="hybridMultilevel"/>
    <w:tmpl w:val="FA841CCC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628"/>
    <w:multiLevelType w:val="hybridMultilevel"/>
    <w:tmpl w:val="15E2EC6C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0D5F8A"/>
    <w:multiLevelType w:val="hybridMultilevel"/>
    <w:tmpl w:val="0224750E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B97"/>
    <w:multiLevelType w:val="hybridMultilevel"/>
    <w:tmpl w:val="52CE0B20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FE61FE"/>
    <w:multiLevelType w:val="hybridMultilevel"/>
    <w:tmpl w:val="4EB610A2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F04AB3"/>
    <w:multiLevelType w:val="hybridMultilevel"/>
    <w:tmpl w:val="DCF2F1A6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8A7236"/>
    <w:multiLevelType w:val="hybridMultilevel"/>
    <w:tmpl w:val="BF965930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5279A6"/>
    <w:multiLevelType w:val="hybridMultilevel"/>
    <w:tmpl w:val="5572864C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274520"/>
    <w:multiLevelType w:val="hybridMultilevel"/>
    <w:tmpl w:val="3A70674E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413F"/>
    <w:multiLevelType w:val="hybridMultilevel"/>
    <w:tmpl w:val="A2ECAACA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B829B7"/>
    <w:multiLevelType w:val="hybridMultilevel"/>
    <w:tmpl w:val="1446180E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4204C5"/>
    <w:multiLevelType w:val="hybridMultilevel"/>
    <w:tmpl w:val="75F0E218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54674"/>
    <w:multiLevelType w:val="hybridMultilevel"/>
    <w:tmpl w:val="29C4A332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7C26DD"/>
    <w:multiLevelType w:val="hybridMultilevel"/>
    <w:tmpl w:val="2D86CCA4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ED05E9"/>
    <w:multiLevelType w:val="hybridMultilevel"/>
    <w:tmpl w:val="C064314C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A18"/>
    <w:multiLevelType w:val="hybridMultilevel"/>
    <w:tmpl w:val="875E9F32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535DDE"/>
    <w:multiLevelType w:val="hybridMultilevel"/>
    <w:tmpl w:val="BF68ADEA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7CA0"/>
    <w:multiLevelType w:val="hybridMultilevel"/>
    <w:tmpl w:val="C750E9D8"/>
    <w:lvl w:ilvl="0" w:tplc="3DF2DFD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414D4F"/>
    <w:multiLevelType w:val="hybridMultilevel"/>
    <w:tmpl w:val="0A9E916A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27BCF"/>
    <w:multiLevelType w:val="hybridMultilevel"/>
    <w:tmpl w:val="30A807EE"/>
    <w:lvl w:ilvl="0" w:tplc="3DF2DF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8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15"/>
  </w:num>
  <w:num w:numId="19">
    <w:abstractNumId w:val="3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38"/>
    <w:rsid w:val="000073BE"/>
    <w:rsid w:val="00015B71"/>
    <w:rsid w:val="000248E0"/>
    <w:rsid w:val="00025C43"/>
    <w:rsid w:val="00035A0B"/>
    <w:rsid w:val="000547A4"/>
    <w:rsid w:val="00063ACE"/>
    <w:rsid w:val="00076130"/>
    <w:rsid w:val="0008503A"/>
    <w:rsid w:val="00091F28"/>
    <w:rsid w:val="00092256"/>
    <w:rsid w:val="000A0673"/>
    <w:rsid w:val="000E2F8D"/>
    <w:rsid w:val="000E751C"/>
    <w:rsid w:val="001004EF"/>
    <w:rsid w:val="00102019"/>
    <w:rsid w:val="00102EEE"/>
    <w:rsid w:val="0013175E"/>
    <w:rsid w:val="0014182B"/>
    <w:rsid w:val="00143746"/>
    <w:rsid w:val="00143783"/>
    <w:rsid w:val="00154774"/>
    <w:rsid w:val="001611D6"/>
    <w:rsid w:val="00181C9B"/>
    <w:rsid w:val="00185589"/>
    <w:rsid w:val="001A6AD6"/>
    <w:rsid w:val="001A79C4"/>
    <w:rsid w:val="001B0E6B"/>
    <w:rsid w:val="001B7BC1"/>
    <w:rsid w:val="001C076B"/>
    <w:rsid w:val="001C2FF1"/>
    <w:rsid w:val="001E6012"/>
    <w:rsid w:val="001E61CC"/>
    <w:rsid w:val="001F0706"/>
    <w:rsid w:val="001F5836"/>
    <w:rsid w:val="001F66F2"/>
    <w:rsid w:val="00205F38"/>
    <w:rsid w:val="00207899"/>
    <w:rsid w:val="00225D41"/>
    <w:rsid w:val="00247536"/>
    <w:rsid w:val="00264937"/>
    <w:rsid w:val="0029056F"/>
    <w:rsid w:val="002C37AE"/>
    <w:rsid w:val="002C702C"/>
    <w:rsid w:val="002E4DBC"/>
    <w:rsid w:val="0030497E"/>
    <w:rsid w:val="00305CBD"/>
    <w:rsid w:val="0030663F"/>
    <w:rsid w:val="003416E9"/>
    <w:rsid w:val="00370A13"/>
    <w:rsid w:val="0039333B"/>
    <w:rsid w:val="00393B1A"/>
    <w:rsid w:val="003A0AFF"/>
    <w:rsid w:val="003A4FCB"/>
    <w:rsid w:val="003B1819"/>
    <w:rsid w:val="003E3BC2"/>
    <w:rsid w:val="003F31A2"/>
    <w:rsid w:val="00403BC1"/>
    <w:rsid w:val="004132B6"/>
    <w:rsid w:val="004251F8"/>
    <w:rsid w:val="004326CF"/>
    <w:rsid w:val="00435D6A"/>
    <w:rsid w:val="0044174F"/>
    <w:rsid w:val="004455D5"/>
    <w:rsid w:val="004625C8"/>
    <w:rsid w:val="00463919"/>
    <w:rsid w:val="004807BD"/>
    <w:rsid w:val="00493909"/>
    <w:rsid w:val="004943F1"/>
    <w:rsid w:val="004A5294"/>
    <w:rsid w:val="004A693A"/>
    <w:rsid w:val="004C14AF"/>
    <w:rsid w:val="004D16D8"/>
    <w:rsid w:val="005149AB"/>
    <w:rsid w:val="00527D39"/>
    <w:rsid w:val="005421FE"/>
    <w:rsid w:val="0054550E"/>
    <w:rsid w:val="00546028"/>
    <w:rsid w:val="0056144D"/>
    <w:rsid w:val="00572A7A"/>
    <w:rsid w:val="00590F19"/>
    <w:rsid w:val="005C0B2B"/>
    <w:rsid w:val="005D183A"/>
    <w:rsid w:val="005E0A0F"/>
    <w:rsid w:val="00625A78"/>
    <w:rsid w:val="00637959"/>
    <w:rsid w:val="00660A38"/>
    <w:rsid w:val="006623F4"/>
    <w:rsid w:val="006938CD"/>
    <w:rsid w:val="00694D09"/>
    <w:rsid w:val="006A0482"/>
    <w:rsid w:val="006B33DC"/>
    <w:rsid w:val="006D0D49"/>
    <w:rsid w:val="006E39EA"/>
    <w:rsid w:val="006F6F14"/>
    <w:rsid w:val="00705858"/>
    <w:rsid w:val="00724EA4"/>
    <w:rsid w:val="007250A8"/>
    <w:rsid w:val="00747C76"/>
    <w:rsid w:val="007819D3"/>
    <w:rsid w:val="00786245"/>
    <w:rsid w:val="007A2CED"/>
    <w:rsid w:val="007C69CB"/>
    <w:rsid w:val="007D7458"/>
    <w:rsid w:val="007E2888"/>
    <w:rsid w:val="007E4C80"/>
    <w:rsid w:val="008256B9"/>
    <w:rsid w:val="008D13B0"/>
    <w:rsid w:val="008D2F95"/>
    <w:rsid w:val="008F1BB4"/>
    <w:rsid w:val="009063E9"/>
    <w:rsid w:val="009168E7"/>
    <w:rsid w:val="00916A25"/>
    <w:rsid w:val="009322DC"/>
    <w:rsid w:val="009A0FD1"/>
    <w:rsid w:val="009C03EE"/>
    <w:rsid w:val="009C0EF7"/>
    <w:rsid w:val="009D3E8F"/>
    <w:rsid w:val="00A0095C"/>
    <w:rsid w:val="00A013E0"/>
    <w:rsid w:val="00A04D37"/>
    <w:rsid w:val="00A06E98"/>
    <w:rsid w:val="00A42006"/>
    <w:rsid w:val="00AC7FFD"/>
    <w:rsid w:val="00B01C73"/>
    <w:rsid w:val="00B3481E"/>
    <w:rsid w:val="00B35566"/>
    <w:rsid w:val="00B462B0"/>
    <w:rsid w:val="00B6436F"/>
    <w:rsid w:val="00B65A1D"/>
    <w:rsid w:val="00B71282"/>
    <w:rsid w:val="00B71BE6"/>
    <w:rsid w:val="00B733E6"/>
    <w:rsid w:val="00BA6718"/>
    <w:rsid w:val="00BC0936"/>
    <w:rsid w:val="00BC6803"/>
    <w:rsid w:val="00BC6BCD"/>
    <w:rsid w:val="00BD7DE9"/>
    <w:rsid w:val="00BE225D"/>
    <w:rsid w:val="00BF2CBC"/>
    <w:rsid w:val="00BF57AB"/>
    <w:rsid w:val="00BF6E54"/>
    <w:rsid w:val="00BF7B8D"/>
    <w:rsid w:val="00C14361"/>
    <w:rsid w:val="00C4705A"/>
    <w:rsid w:val="00C60B5A"/>
    <w:rsid w:val="00C64C4C"/>
    <w:rsid w:val="00C827B8"/>
    <w:rsid w:val="00C848CE"/>
    <w:rsid w:val="00C90E0F"/>
    <w:rsid w:val="00CA4FB5"/>
    <w:rsid w:val="00CB44A4"/>
    <w:rsid w:val="00CD3CE0"/>
    <w:rsid w:val="00CD6BA2"/>
    <w:rsid w:val="00CE2740"/>
    <w:rsid w:val="00CF70E5"/>
    <w:rsid w:val="00D227F3"/>
    <w:rsid w:val="00D32CCA"/>
    <w:rsid w:val="00D51388"/>
    <w:rsid w:val="00D630D6"/>
    <w:rsid w:val="00D7794F"/>
    <w:rsid w:val="00D878C7"/>
    <w:rsid w:val="00DC74AA"/>
    <w:rsid w:val="00DF0313"/>
    <w:rsid w:val="00E0634A"/>
    <w:rsid w:val="00E1197B"/>
    <w:rsid w:val="00E21A92"/>
    <w:rsid w:val="00E459CD"/>
    <w:rsid w:val="00E5771A"/>
    <w:rsid w:val="00E90320"/>
    <w:rsid w:val="00EB34F6"/>
    <w:rsid w:val="00F0009B"/>
    <w:rsid w:val="00FA117C"/>
    <w:rsid w:val="00FA4C20"/>
    <w:rsid w:val="00FB3E08"/>
    <w:rsid w:val="00FE050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  <w15:chartTrackingRefBased/>
  <w15:docId w15:val="{F9F0AED1-8196-4F30-A37F-67A1B31C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3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1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4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0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2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1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0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20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5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35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2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40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2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5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2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6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8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5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0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807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499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74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718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43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05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15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Шматченко</dc:creator>
  <cp:keywords/>
  <dc:description/>
  <cp:lastModifiedBy>Соколова Василиса Андреевна</cp:lastModifiedBy>
  <cp:revision>2</cp:revision>
  <cp:lastPrinted>2022-10-05T09:25:00Z</cp:lastPrinted>
  <dcterms:created xsi:type="dcterms:W3CDTF">2025-09-11T12:34:00Z</dcterms:created>
  <dcterms:modified xsi:type="dcterms:W3CDTF">2025-09-11T12:34:00Z</dcterms:modified>
</cp:coreProperties>
</file>