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3A37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</w:p>
    <w:p w14:paraId="6350D374" w14:textId="77777777" w:rsidR="00A25CD5" w:rsidRPr="009903FE" w:rsidRDefault="00A25CD5" w:rsidP="00A25CD5">
      <w:pPr>
        <w:suppressAutoHyphens/>
        <w:ind w:leftChars="-1" w:hangingChars="1" w:hanging="3"/>
        <w:contextualSpacing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Cs w:val="28"/>
          <w:lang w:eastAsia="ru-RU"/>
        </w:rPr>
      </w:pPr>
      <w:r w:rsidRPr="009903FE">
        <w:rPr>
          <w:rFonts w:eastAsia="Times New Roman"/>
          <w:b/>
          <w:position w:val="-1"/>
          <w:szCs w:val="28"/>
          <w:lang w:eastAsia="ru-RU"/>
        </w:rPr>
        <w:t>Примерные оценочные материалы, применяемые при проведении</w:t>
      </w:r>
    </w:p>
    <w:p w14:paraId="2ECCEFDE" w14:textId="51248C9A" w:rsidR="00A25CD5" w:rsidRDefault="00A25CD5" w:rsidP="00A25CD5">
      <w:pPr>
        <w:suppressAutoHyphens/>
        <w:ind w:leftChars="-1" w:hangingChars="1" w:hanging="3"/>
        <w:contextualSpacing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Cs w:val="28"/>
          <w:lang w:eastAsia="ru-RU"/>
        </w:rPr>
      </w:pPr>
      <w:r>
        <w:rPr>
          <w:rFonts w:eastAsia="Calibri" w:cs="Times New Roman"/>
          <w:b/>
          <w:szCs w:val="28"/>
        </w:rPr>
        <w:t>Зачета/экзамена</w:t>
      </w:r>
      <w:r>
        <w:rPr>
          <w:rFonts w:eastAsia="Times New Roman"/>
          <w:b/>
          <w:position w:val="-1"/>
          <w:szCs w:val="28"/>
          <w:lang w:eastAsia="ru-RU"/>
        </w:rPr>
        <w:t xml:space="preserve"> </w:t>
      </w:r>
      <w:r w:rsidRPr="009903FE">
        <w:rPr>
          <w:rFonts w:eastAsia="Times New Roman"/>
          <w:b/>
          <w:position w:val="-1"/>
          <w:szCs w:val="28"/>
          <w:lang w:eastAsia="ru-RU"/>
        </w:rPr>
        <w:t>по дисциплине (модулю)</w:t>
      </w:r>
    </w:p>
    <w:p w14:paraId="071AF29D" w14:textId="77777777" w:rsidR="00A25CD5" w:rsidRPr="009903FE" w:rsidRDefault="00A25CD5" w:rsidP="00A25CD5">
      <w:pPr>
        <w:suppressAutoHyphens/>
        <w:ind w:leftChars="-1" w:hangingChars="1" w:hanging="3"/>
        <w:contextualSpacing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Cs w:val="28"/>
          <w:lang w:eastAsia="ru-RU"/>
        </w:rPr>
      </w:pPr>
      <w:r w:rsidRPr="00F847BC">
        <w:rPr>
          <w:rFonts w:eastAsia="Times New Roman"/>
          <w:b/>
          <w:position w:val="-1"/>
          <w:szCs w:val="28"/>
          <w:lang w:eastAsia="ru-RU"/>
        </w:rPr>
        <w:t>05.04.06</w:t>
      </w:r>
      <w:r>
        <w:rPr>
          <w:rFonts w:eastAsia="Times New Roman"/>
          <w:b/>
          <w:position w:val="-1"/>
          <w:szCs w:val="28"/>
          <w:lang w:eastAsia="ru-RU"/>
        </w:rPr>
        <w:t xml:space="preserve"> </w:t>
      </w:r>
      <w:r w:rsidRPr="00F847BC">
        <w:rPr>
          <w:rFonts w:eastAsia="Times New Roman"/>
          <w:b/>
          <w:position w:val="-1"/>
          <w:szCs w:val="28"/>
          <w:lang w:eastAsia="ru-RU"/>
        </w:rPr>
        <w:t xml:space="preserve">Экология и природопользование. Экология и устойчивое развитие транспорта </w:t>
      </w:r>
      <w:r w:rsidRPr="009903FE">
        <w:rPr>
          <w:rFonts w:eastAsia="Times New Roman"/>
          <w:b/>
          <w:position w:val="-1"/>
          <w:szCs w:val="28"/>
          <w:lang w:eastAsia="ru-RU"/>
        </w:rPr>
        <w:t xml:space="preserve"> </w:t>
      </w:r>
    </w:p>
    <w:p w14:paraId="3F1DCD7B" w14:textId="7F19B52C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br/>
      </w:r>
    </w:p>
    <w:p w14:paraId="7560CE8F" w14:textId="7BBE6BC3" w:rsidR="00AC10AF" w:rsidRPr="00AC10AF" w:rsidRDefault="00A25CD5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Вопросы для </w:t>
      </w:r>
      <w:r>
        <w:rPr>
          <w:rFonts w:eastAsia="Calibri" w:cs="Times New Roman"/>
          <w:b/>
          <w:szCs w:val="28"/>
        </w:rPr>
        <w:t>Зачета/экзамена</w:t>
      </w:r>
      <w:r>
        <w:rPr>
          <w:rFonts w:eastAsia="Calibri" w:cs="Times New Roman"/>
          <w:b/>
          <w:szCs w:val="28"/>
        </w:rPr>
        <w:t xml:space="preserve"> </w:t>
      </w:r>
      <w:r w:rsidR="00AC10AF" w:rsidRPr="00AC10AF">
        <w:rPr>
          <w:rFonts w:eastAsia="Calibri" w:cs="Times New Roman"/>
          <w:b/>
          <w:szCs w:val="28"/>
        </w:rPr>
        <w:t>«</w:t>
      </w:r>
      <w:r w:rsidRPr="00A25CD5">
        <w:rPr>
          <w:rFonts w:eastAsia="Calibri" w:cs="Times New Roman"/>
          <w:b/>
          <w:sz w:val="24"/>
          <w:szCs w:val="24"/>
        </w:rPr>
        <w:t>Социальная ответственность в бизнесе</w:t>
      </w:r>
      <w:r w:rsidR="00E0338D">
        <w:rPr>
          <w:rFonts w:eastAsia="Calibri" w:cs="Times New Roman"/>
          <w:b/>
          <w:sz w:val="24"/>
          <w:szCs w:val="24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299DCFBC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 w:rsidRPr="00AC10AF">
        <w:rPr>
          <w:rFonts w:eastAsia="Calibri" w:cs="Times New Roman"/>
          <w:szCs w:val="28"/>
        </w:rPr>
        <w:tab/>
      </w:r>
    </w:p>
    <w:p w14:paraId="3F923680" w14:textId="77777777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16CDD474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принципы ISO 26000 важны для корпоративных программ поддержки инвалидов, но отсутствуют в ISO 14001?</w:t>
      </w:r>
    </w:p>
    <w:p w14:paraId="715C2860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В чем разница между добровольной и обязательной социальной отчетностью?</w:t>
      </w:r>
    </w:p>
    <w:p w14:paraId="7785DA97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Конвенции МОТ регулируют условия труда в цепочках поставок?</w:t>
      </w:r>
    </w:p>
    <w:p w14:paraId="651FCC76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KPI важны для оценки эффективности антикоррупционных мер в социальных проектах?</w:t>
      </w:r>
    </w:p>
    <w:p w14:paraId="0FF3C394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интегрировать социальные цели в цифровые продукты компании (например, мобильные приложения)?</w:t>
      </w:r>
    </w:p>
    <w:p w14:paraId="15A2D025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этапы включают опрос заинтересованных сторон для определения существенных тем?</w:t>
      </w:r>
    </w:p>
    <w:p w14:paraId="2217EAF1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 xml:space="preserve">Какие аспекты входят в категорию «Общество» по GRI </w:t>
      </w:r>
      <w:proofErr w:type="spellStart"/>
      <w:r w:rsidRPr="00A25CD5">
        <w:rPr>
          <w:rFonts w:eastAsia="Times New Roman" w:cs="Times New Roman"/>
        </w:rPr>
        <w:t>Standards</w:t>
      </w:r>
      <w:proofErr w:type="spellEnd"/>
      <w:r w:rsidRPr="00A25CD5">
        <w:rPr>
          <w:rFonts w:eastAsia="Times New Roman" w:cs="Times New Roman"/>
        </w:rPr>
        <w:t>?</w:t>
      </w:r>
    </w:p>
    <w:p w14:paraId="0A9CEEAE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оценить соответствие социальных программ принципам ОЭСР?</w:t>
      </w:r>
    </w:p>
    <w:p w14:paraId="417D357E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законы РФ важны для обеспечения доступности рабочих мест для инвалидов?</w:t>
      </w:r>
    </w:p>
    <w:p w14:paraId="7B7A0A05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методы анализа используются для оценки воздействия социальных проектов на местное население?</w:t>
      </w:r>
    </w:p>
    <w:p w14:paraId="13DF6D90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В чем разница между социальной ответственностью в малых и крупных компаниях?</w:t>
      </w:r>
    </w:p>
    <w:p w14:paraId="7D7AD7A5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этапы включают создание социального контракта с муниципалитетом?</w:t>
      </w:r>
    </w:p>
    <w:p w14:paraId="6CAFC6D4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lastRenderedPageBreak/>
        <w:t>Какие KPI важны для оценки взаимодействия с НПО?</w:t>
      </w:r>
    </w:p>
    <w:p w14:paraId="2E6BB6D1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интегрировать требования ФЗ «Об ОВЗ» в HR-процессы?</w:t>
      </w:r>
    </w:p>
    <w:p w14:paraId="755136E1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аспекты входят в «Ответственность за продукцию» по GRI?</w:t>
      </w:r>
    </w:p>
    <w:p w14:paraId="47B35677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оценить социальный риск проекта через квалификационные критерии?</w:t>
      </w:r>
    </w:p>
    <w:p w14:paraId="4608EF78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этапы включают внешнее заверение социальных показателей?</w:t>
      </w:r>
    </w:p>
    <w:p w14:paraId="5FD79912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статьи коллективного договора РЖД связаны с социальной ответственностью?</w:t>
      </w:r>
    </w:p>
    <w:p w14:paraId="6D183681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принципы из Трехсторонней декларации МОТ важны для управления персоналом?</w:t>
      </w:r>
    </w:p>
    <w:p w14:paraId="54EFF370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интегрировать социальные аспекты в бизнес-модели компании?</w:t>
      </w:r>
    </w:p>
    <w:p w14:paraId="145B0434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KPI важны для оценки вовлечения сотрудников в программы социальной ответственности?</w:t>
      </w:r>
    </w:p>
    <w:p w14:paraId="02BD03AE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 xml:space="preserve">Какие этапы включают проектирование </w:t>
      </w:r>
      <w:proofErr w:type="spellStart"/>
      <w:r w:rsidRPr="00A25CD5">
        <w:rPr>
          <w:rFonts w:eastAsia="Times New Roman" w:cs="Times New Roman"/>
        </w:rPr>
        <w:t>безбарьерной</w:t>
      </w:r>
      <w:proofErr w:type="spellEnd"/>
      <w:r w:rsidRPr="00A25CD5">
        <w:rPr>
          <w:rFonts w:eastAsia="Times New Roman" w:cs="Times New Roman"/>
        </w:rPr>
        <w:t xml:space="preserve"> среды для людей с ОВЗ?</w:t>
      </w:r>
    </w:p>
    <w:p w14:paraId="2842D3F3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оценить соответствие социальной политики компании принципам ISO 26000?</w:t>
      </w:r>
    </w:p>
    <w:p w14:paraId="26C9CB6D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методы применяются для анализа социальных рисков в инвестиционных портфелях?</w:t>
      </w:r>
    </w:p>
    <w:p w14:paraId="268DDD48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этапы включают мониторинг социальных условий у поставщиков?</w:t>
      </w:r>
    </w:p>
    <w:p w14:paraId="2B6ECDFA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 xml:space="preserve">Какие цифровые ресурсы (например, </w:t>
      </w:r>
      <w:proofErr w:type="spellStart"/>
      <w:r w:rsidRPr="00A25CD5">
        <w:rPr>
          <w:rFonts w:eastAsia="Times New Roman" w:cs="Times New Roman"/>
        </w:rPr>
        <w:t>Power</w:t>
      </w:r>
      <w:proofErr w:type="spellEnd"/>
      <w:r w:rsidRPr="00A25CD5">
        <w:rPr>
          <w:rFonts w:eastAsia="Times New Roman" w:cs="Times New Roman"/>
        </w:rPr>
        <w:t xml:space="preserve"> BI) помогают визуализировать социальные показатели?</w:t>
      </w:r>
    </w:p>
    <w:p w14:paraId="54E0B9D9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этапы включают создание образовательных программ для сотрудников по социальной ответственности?</w:t>
      </w:r>
    </w:p>
    <w:p w14:paraId="4C46A55B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 интегрировать принципы ОЭСР в антикоррупционную политику?</w:t>
      </w:r>
    </w:p>
    <w:p w14:paraId="4D4260A3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 xml:space="preserve">Какие аспекты входят в категорию «Достойный труд» по GRI </w:t>
      </w:r>
      <w:proofErr w:type="spellStart"/>
      <w:r w:rsidRPr="00A25CD5">
        <w:rPr>
          <w:rFonts w:eastAsia="Times New Roman" w:cs="Times New Roman"/>
        </w:rPr>
        <w:t>Standards</w:t>
      </w:r>
      <w:proofErr w:type="spellEnd"/>
      <w:r w:rsidRPr="00A25CD5">
        <w:rPr>
          <w:rFonts w:eastAsia="Times New Roman" w:cs="Times New Roman"/>
        </w:rPr>
        <w:t>?</w:t>
      </w:r>
    </w:p>
    <w:p w14:paraId="0682191F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Какие требования к отчетности по ESG-рискам указаны в информационном письме Банка России от 16 декабря 2021 г.?</w:t>
      </w:r>
    </w:p>
    <w:p w14:paraId="480A6DD0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proofErr w:type="spellStart"/>
      <w:r w:rsidRPr="00A25CD5">
        <w:rPr>
          <w:rFonts w:eastAsia="Times New Roman" w:cs="Times New Roman"/>
        </w:rPr>
        <w:t>Кейсовые</w:t>
      </w:r>
      <w:proofErr w:type="spellEnd"/>
      <w:r w:rsidRPr="00A25CD5">
        <w:rPr>
          <w:rFonts w:eastAsia="Times New Roman" w:cs="Times New Roman"/>
        </w:rPr>
        <w:t xml:space="preserve"> задания (4 задания)</w:t>
      </w:r>
    </w:p>
    <w:p w14:paraId="53239D34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Кейс 1: Оценка социальных рисков в инвестиционном портфеле</w:t>
      </w:r>
    </w:p>
    <w:p w14:paraId="1852A929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lastRenderedPageBreak/>
        <w:t>Анализировать проекты на соответствие критериям зеленых облигаций и разработать KPI для минимизации ESG-рисков.</w:t>
      </w:r>
    </w:p>
    <w:p w14:paraId="3630587F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</w:p>
    <w:p w14:paraId="77BFC85D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Кейс 2: Интеграция социальной ответственности в цифровые продукты</w:t>
      </w:r>
    </w:p>
    <w:p w14:paraId="13769BE3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Спроектировать алгоритм адаптации сайта для людей с нарушениями зрения, учитывая ФЗ «Об ОВЗ».</w:t>
      </w:r>
    </w:p>
    <w:p w14:paraId="48470FEF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</w:p>
    <w:p w14:paraId="693B0DB4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Кейс 3: Разработка социального контракта с муниципалитетом</w:t>
      </w:r>
    </w:p>
    <w:p w14:paraId="19898FFB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Создать соглашение о поддержке инвалидов и молодежи в регионе с высокой безработицей.</w:t>
      </w:r>
    </w:p>
    <w:p w14:paraId="4D653EA3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</w:p>
    <w:p w14:paraId="4020E4BB" w14:textId="77777777" w:rsidR="00A25CD5" w:rsidRPr="00A25CD5" w:rsidRDefault="00A25CD5" w:rsidP="00A25CD5">
      <w:pPr>
        <w:spacing w:after="160" w:line="259" w:lineRule="auto"/>
        <w:ind w:firstLine="0"/>
        <w:rPr>
          <w:rFonts w:eastAsia="Times New Roman" w:cs="Times New Roman"/>
        </w:rPr>
      </w:pPr>
      <w:r w:rsidRPr="00A25CD5">
        <w:rPr>
          <w:rFonts w:eastAsia="Times New Roman" w:cs="Times New Roman"/>
        </w:rPr>
        <w:t>Кейс 4: Управление рисками в цепочках поставок</w:t>
      </w:r>
    </w:p>
    <w:p w14:paraId="0BBF6F4C" w14:textId="48F3BAE4" w:rsidR="00C0584B" w:rsidRPr="00C0584B" w:rsidRDefault="00A25CD5" w:rsidP="00A25CD5">
      <w:pPr>
        <w:spacing w:line="276" w:lineRule="auto"/>
        <w:ind w:right="-108" w:firstLine="618"/>
        <w:jc w:val="both"/>
        <w:rPr>
          <w:rFonts w:cs="Times New Roman"/>
          <w:b/>
          <w:bCs/>
          <w:szCs w:val="28"/>
        </w:rPr>
      </w:pPr>
      <w:r w:rsidRPr="00A25CD5">
        <w:rPr>
          <w:rFonts w:eastAsia="Times New Roman" w:cs="Times New Roman"/>
        </w:rPr>
        <w:t>Оценить соответствие условий труда у поставщиков принципам МОТ и разработать план их улучшения.</w:t>
      </w:r>
    </w:p>
    <w:sectPr w:rsidR="00C0584B" w:rsidRPr="00C0584B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C215D"/>
    <w:rsid w:val="002226D9"/>
    <w:rsid w:val="002357E2"/>
    <w:rsid w:val="003F2ACD"/>
    <w:rsid w:val="00554452"/>
    <w:rsid w:val="007C4303"/>
    <w:rsid w:val="0081451C"/>
    <w:rsid w:val="00815935"/>
    <w:rsid w:val="00881334"/>
    <w:rsid w:val="009F4117"/>
    <w:rsid w:val="00A25CD5"/>
    <w:rsid w:val="00A97FEF"/>
    <w:rsid w:val="00AA1EE5"/>
    <w:rsid w:val="00AC10AF"/>
    <w:rsid w:val="00AE0611"/>
    <w:rsid w:val="00B15877"/>
    <w:rsid w:val="00C0584B"/>
    <w:rsid w:val="00C14423"/>
    <w:rsid w:val="00D50741"/>
    <w:rsid w:val="00E0338D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DA66-6600-4312-9367-0B023CFC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11</cp:revision>
  <dcterms:created xsi:type="dcterms:W3CDTF">2022-02-12T14:08:00Z</dcterms:created>
  <dcterms:modified xsi:type="dcterms:W3CDTF">2025-04-25T22:26:00Z</dcterms:modified>
</cp:coreProperties>
</file>