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C6" w:rsidRPr="008F1B5A" w:rsidRDefault="00C372C6" w:rsidP="00C372C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C372C6" w:rsidRDefault="00C372C6" w:rsidP="00C372C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C372C6" w:rsidRPr="0005390B" w:rsidRDefault="00C372C6" w:rsidP="00C372C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C372C6" w:rsidRDefault="00C372C6" w:rsidP="00C372C6">
      <w:pPr>
        <w:ind w:firstLine="567"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Цифровая экономика</w:t>
      </w:r>
    </w:p>
    <w:p w:rsidR="00B26104" w:rsidRDefault="00C372C6" w:rsidP="00C372C6">
      <w:pPr>
        <w:ind w:firstLine="567"/>
        <w:jc w:val="center"/>
        <w:rPr>
          <w:rFonts w:cs="Times New Roman"/>
          <w:b/>
          <w:noProof/>
          <w:sz w:val="28"/>
          <w:szCs w:val="28"/>
        </w:rPr>
      </w:pPr>
      <w:r w:rsidRPr="0005390B">
        <w:rPr>
          <w:b/>
          <w:sz w:val="28"/>
          <w:szCs w:val="28"/>
        </w:rPr>
        <w:t>»</w:t>
      </w:r>
    </w:p>
    <w:tbl>
      <w:tblPr>
        <w:tblStyle w:val="a7"/>
        <w:tblW w:w="4637" w:type="pct"/>
        <w:jc w:val="center"/>
        <w:tblInd w:w="0" w:type="dxa"/>
        <w:tblLook w:val="04A0" w:firstRow="1" w:lastRow="0" w:firstColumn="1" w:lastColumn="0" w:noHBand="0" w:noVBand="1"/>
      </w:tblPr>
      <w:tblGrid>
        <w:gridCol w:w="1623"/>
        <w:gridCol w:w="7254"/>
      </w:tblGrid>
      <w:tr w:rsidR="00AC7A03" w:rsidTr="00AC7A03">
        <w:trPr>
          <w:cantSplit/>
          <w:tblHeader/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03" w:rsidRDefault="00AC7A03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№</w:t>
            </w:r>
          </w:p>
          <w:p w:rsidR="00AC7A03" w:rsidRDefault="00AC7A03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п\п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03" w:rsidRDefault="00AC7A03">
            <w:pPr>
              <w:jc w:val="center"/>
              <w:rPr>
                <w:rFonts w:cs="Times New Roman"/>
                <w:i/>
                <w:noProof/>
                <w:szCs w:val="24"/>
              </w:rPr>
            </w:pPr>
            <w:r>
              <w:rPr>
                <w:rFonts w:cs="Times New Roman"/>
                <w:i/>
                <w:noProof/>
                <w:szCs w:val="24"/>
              </w:rPr>
              <w:t>Оценочные средства</w:t>
            </w:r>
          </w:p>
        </w:tc>
      </w:tr>
      <w:tr w:rsidR="00AC7A03" w:rsidTr="00C372C6">
        <w:trPr>
          <w:jc w:val="center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A03" w:rsidRDefault="00AC7A03" w:rsidP="00C372C6">
            <w:pPr>
              <w:jc w:val="center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1.</w:t>
            </w:r>
          </w:p>
        </w:tc>
        <w:tc>
          <w:tcPr>
            <w:tcW w:w="4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03" w:rsidRPr="00C372C6" w:rsidRDefault="00AC7A03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Темы докладов (приложение1)</w:t>
            </w:r>
          </w:p>
          <w:p w:rsidR="00AC7A03" w:rsidRDefault="00AC7A03">
            <w:pPr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Командные (ситуационные) задания (Приложение 2)</w:t>
            </w:r>
            <w:r>
              <w:rPr>
                <w:rFonts w:cs="Times New Roman"/>
                <w:noProof/>
                <w:szCs w:val="24"/>
              </w:rPr>
              <w:br/>
              <w:t>Вопросы опроса (для блиц- опроса и устного опроса (Приложение 3))</w:t>
            </w:r>
            <w:r>
              <w:rPr>
                <w:rFonts w:cs="Times New Roman"/>
                <w:noProof/>
                <w:szCs w:val="24"/>
              </w:rPr>
              <w:br/>
              <w:t>Вопросы к экзамену (Приложение 4)</w:t>
            </w:r>
          </w:p>
        </w:tc>
      </w:tr>
    </w:tbl>
    <w:p w:rsidR="00B26104" w:rsidRDefault="00B26104">
      <w:pPr>
        <w:ind w:firstLine="567"/>
        <w:jc w:val="both"/>
        <w:rPr>
          <w:rFonts w:cs="Times New Roman"/>
          <w:noProof/>
          <w:sz w:val="28"/>
          <w:szCs w:val="28"/>
        </w:rPr>
      </w:pPr>
    </w:p>
    <w:p w:rsidR="00B26104" w:rsidRDefault="00460B45" w:rsidP="00C372C6">
      <w:pPr>
        <w:keepNext/>
        <w:spacing w:line="360" w:lineRule="auto"/>
        <w:ind w:firstLine="567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деятельности.</w:t>
      </w:r>
    </w:p>
    <w:p w:rsidR="00B26104" w:rsidRDefault="00460B45" w:rsidP="00C372C6">
      <w:pPr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Оценивание знаний, умений и навыков по учебной дисциплине «Цифровая экономика»</w:t>
      </w:r>
      <w:r>
        <w:rPr>
          <w:bCs/>
          <w:sz w:val="28"/>
          <w:szCs w:val="28"/>
        </w:rPr>
        <w:t xml:space="preserve"> осуществляется посредством использования следующих видов оценочных средств: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1. Доклады (Рефераты)</w:t>
            </w: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2. Решение командного задания (Ситуационная задача)</w:t>
            </w: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3. Опросы</w:t>
            </w: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4. Экзамен</w:t>
            </w:r>
          </w:p>
        </w:tc>
      </w:tr>
    </w:tbl>
    <w:p w:rsidR="00B26104" w:rsidRDefault="00B26104" w:rsidP="00C372C6">
      <w:pPr>
        <w:spacing w:line="360" w:lineRule="auto"/>
        <w:jc w:val="both"/>
        <w:rPr>
          <w:rFonts w:cs="Times New Roman"/>
          <w:vanish/>
          <w:szCs w:val="24"/>
          <w:lang w:eastAsia="ru-RU"/>
        </w:rPr>
      </w:pP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Доклады (Рефераты)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Доклад как форма текущего контроля знаний представляет собой развернутое устное сообщение на какую-либо тему, сделанное публично. Он является разновидностью самостоятельной научной работы студента.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Тему для доклада студенты выбирают из перечня, указанного в фонде оценочных средств. Однако обучающиеся могут предложить и свою тему, если она не выходит за рамки учебного курса и дополняет материал соответствующего раздела дисциплины.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Материал по теме собирается из нескольких достоверных источников (учебники, научная литература). Студент должен проанализировать его, выделить наиболее важные факты, обобщить и написать текст доклада, выдержанный в научном стиле.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На выступление каждому докладчику выделяется не более 15 минут.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Доклад должен состоять из вступления (название темы, перечисление источников, связь с предыдущими докладами), основной части и заключения (выводы, значение рассмотренного вопроса). Во время доклада студент может использовать наглядный материал (таблицы, графики, иллюстрации и т.д.). 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Студент выступает с докладом на занятии, затем происходит обсуждение доклада. Студенты, присутствующие на занятии, могут задавать вопросы выступающему или преподавателю, делиться своим мнением и, по возможности, применять в дальнейшем полученную информацию на практике.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Преподаватель комментирует выступление студента и дает устную оценку проделанной работе, которая может учитываться при проведении промежуточной аттестации. 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/>
                <w:color w:val="000000"/>
                <w:sz w:val="28"/>
                <w:szCs w:val="28"/>
              </w:rPr>
              <w:t>Темы докладов (рефератов)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G2C- и С2G-модели сетевых отношений: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российская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 реализация концепции «электронного правительства»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G2B- и B2G-модели сетевых отношений: электронное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взаимодействие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 государства и бизнеса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Характеристика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государственнои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̆ программы «Информационное общество» (2011- 2020 гг.)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Бизнес-модели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web-сайтов</w:t>
            </w:r>
            <w:proofErr w:type="spellEnd"/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Современное состояние и перспективы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электроннои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̆ коммерции B2B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Современное состояние и перспективы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электроннои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̆ коммерции B2C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Индекс NASDAQ как индикатор мирового рынка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высокотехнологическои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̆ продукции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Аутсорсинг в сфере информационных технологий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Консалтинг в сфере информационных технологий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Интернет-трейдинг</w:t>
            </w:r>
            <w:proofErr w:type="spellEnd"/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Интернет-аукционы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Интернет-реклама: методы, формы, критерии эффективности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Электронные платежные системы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Интернет-банкинг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Интернет-страхование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Коммерциализация социальных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сетеи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̆ и сетевых сообществ </w:t>
            </w:r>
          </w:p>
          <w:p w:rsidR="00C372C6" w:rsidRPr="002E4299" w:rsidRDefault="00C372C6" w:rsidP="00C372C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60" w:lineRule="auto"/>
              <w:ind w:hanging="72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Фрилансинг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 как форма дистанционных трудовых отношений 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18.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Эконеты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>: опыт сотрудничества венчурных инвесторов и интернет-компаний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19. NBIC-конвергенция: тренд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информационнои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>̆ сферы ХХI века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>20. IPO ИТ-компаний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21. Новые интернет-сервисы: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стартапы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-лидеры года в ИТ-области по версии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TechCrunch</w:t>
            </w:r>
            <w:proofErr w:type="spellEnd"/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22. Интернет-холдинги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российского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 сегмента сети Интернет 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MS Mincho"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23. 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Онлайновые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 xml:space="preserve"> базы данных финансово-</w:t>
            </w:r>
            <w:proofErr w:type="spellStart"/>
            <w:r w:rsidRPr="002E4299">
              <w:rPr>
                <w:rFonts w:cs="Times New Roman"/>
                <w:color w:val="000000"/>
                <w:sz w:val="28"/>
                <w:szCs w:val="28"/>
              </w:rPr>
              <w:t>экономическои</w:t>
            </w:r>
            <w:proofErr w:type="spellEnd"/>
            <w:r w:rsidRPr="002E4299">
              <w:rPr>
                <w:rFonts w:cs="Times New Roman"/>
                <w:color w:val="000000"/>
                <w:sz w:val="28"/>
                <w:szCs w:val="28"/>
              </w:rPr>
              <w:t>̆ информации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color w:val="000000"/>
                <w:sz w:val="28"/>
                <w:szCs w:val="28"/>
              </w:rPr>
              <w:t>24. Проблемы законодательного регулирования бизнес-деятельности в Интернет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Решение командного задания (Ситуационная задача)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Для выполнения командного задания учебная группа делится преподавателем на команды по 3-5 человек. Команды знакомятся с материалами задания. Каждая команда посредством группового совещания, обмена мнениями и применения изученных на лекциях подходов к управлению организацией разрабатывает в рамках полученного задания программу мероприятий, составляет отчет в предложенной руководителем форме. Затем отчет представляется группе и обсуждается всеми членами учебной группы.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Преподавателем оценивается качество представленных материалов, активность отдельных студентов в подготовке результирующих материалов и их защите, обоснованность ответов на вопросы преподавателя и студентов учебной группы, активность в обсуждении отчетов других команд.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В ходе решения ситуационной задачи студенты должны дать ответ на вопрос задачи, дать подробное, последовательное, грамотное объяснение хода ее решения, представить теоретические обоснования ее решения, показать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>правильное и свободное владение терминологией, дать ответы на дополнительные вопросы преподавателя.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Результат решения ситуационных задач учитывается преподавателем в ходе промежуточной аттестации. 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C372C6" w:rsidRPr="00C372C6" w:rsidRDefault="00C372C6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 w:rsidRPr="00C372C6">
              <w:rPr>
                <w:rFonts w:cs="Times New Roman"/>
                <w:b/>
                <w:noProof/>
                <w:sz w:val="28"/>
                <w:szCs w:val="28"/>
              </w:rPr>
              <w:t>Командные (ситуационные) задания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Кейс1(15 мин/практ занятие)-практика разработки идеи цифрового продукта, выявление причин затруднения создания и коммерциализации цифровых продуктов, защита проекта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Кейс2*(15мин/ракт занятие)-рассмотрение актуального вопроса Департамента многостороннего экономического сотрудничества и специальных проектов Министерства экономического развития РФ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Пример кейсового задания №1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Социальная сеть для фитнес-инструкторов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Сервис для скорой психологической помощи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Система мониторинга экологической ситуации в городе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Пример кейсового задания №2</w:t>
            </w:r>
          </w:p>
          <w:p w:rsidR="00C372C6" w:rsidRP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«Что можно изменить в текущей дорожной карте развития цифровой экономики Российской Федерации для наибольшей эффективности ее реализации?»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C372C6">
              <w:rPr>
                <w:rFonts w:cs="Times New Roman"/>
                <w:noProof/>
                <w:sz w:val="28"/>
                <w:szCs w:val="28"/>
              </w:rPr>
              <w:t>«Предложения по реализации совместной торговой политике стран ЕАЭС по цифровым продуктам»</w:t>
            </w: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Опросы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Устные опросы проводятся во время практических занятий и возможны при проведении экзамена в качестве дополнительного испытания при недостаточности письменного ответа и решения задачи. Вопросы опроса не должны выходить за рамки объявленной для данного занятия темы. Устные опросы необходимо строить так, чтобы вовлечь в тему обсуждения максимальное количество обучающихся в группе, проводить параллели с уже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пройденным учебным материалом данной дисциплины и смежными курсами, находить удачные примеры из современной действительности, что увеличивает эффективность усвоения материала на ассоциациях. 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Основные вопросы для устного опроса доводятся до сведения студентов на предыдущем практическом занятии. 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Письменные блиц-опросы позволяют проверить уровень подготовки к практическому занятию всех обучающихся в группе, при этом оставляя достаточно учебного времени для иных форм педагогической деятельности в рамках данного занятия. Письменный блиц-опрос проводится без предупреждения, что стимулирует обучающихся к систематической подготовке к занятиям. Вопросы для опроса готовятся заранее, формулируются узко, дабы обучающийся имел объективную возможность полноценно его осветить за отведенное время (10-15 мин.).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Письменные опросы целесообразно применять в целях проверки усвояемости значительного объема учебного материала, например, во время проведения экзамена, когда необходимо проверить знания студентов по всему курсу.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При оценке опросов анализу подлежит точность формулировок, связность изложения материала, обоснованность суждений, опора на методические материалы.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E4299">
              <w:rPr>
                <w:rFonts w:cs="Times New Roman"/>
                <w:b/>
                <w:sz w:val="28"/>
                <w:szCs w:val="28"/>
              </w:rPr>
              <w:t>Вопросы для блиц-опроса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1. Сеть Интернет и всемирное информационное пространство. Принципы функционирования.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Узлы сети Интернет.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2. Поиск информации в сети Интернет. Поисковые системы.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3. Поисковая оптимизация.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 xml:space="preserve">4. </w:t>
            </w:r>
            <w:proofErr w:type="spellStart"/>
            <w:r w:rsidRPr="002E4299">
              <w:rPr>
                <w:rFonts w:cs="Times New Roman"/>
                <w:bCs/>
                <w:sz w:val="28"/>
                <w:szCs w:val="28"/>
              </w:rPr>
              <w:t>Провайдинговая</w:t>
            </w:r>
            <w:proofErr w:type="spellEnd"/>
            <w:r w:rsidRPr="002E4299">
              <w:rPr>
                <w:rFonts w:cs="Times New Roman"/>
                <w:bCs/>
                <w:sz w:val="28"/>
                <w:szCs w:val="28"/>
              </w:rPr>
              <w:t xml:space="preserve"> деятельность. Виды провайдеров.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5. Экономические модели работы провайдеров.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6. Способы подключения к сети Интернет, их преимущества и недостатки.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lastRenderedPageBreak/>
              <w:t>7. Система доменных имен.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8. Правила выбора доменного имени.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 xml:space="preserve">9. </w:t>
            </w:r>
            <w:proofErr w:type="spellStart"/>
            <w:r w:rsidRPr="002E4299">
              <w:rPr>
                <w:rFonts w:cs="Times New Roman"/>
                <w:bCs/>
                <w:sz w:val="28"/>
                <w:szCs w:val="28"/>
              </w:rPr>
              <w:t>Киберсквоттинг</w:t>
            </w:r>
            <w:proofErr w:type="spellEnd"/>
            <w:r w:rsidRPr="002E4299">
              <w:rPr>
                <w:rFonts w:cs="Times New Roman"/>
                <w:bCs/>
                <w:sz w:val="28"/>
                <w:szCs w:val="28"/>
              </w:rPr>
              <w:t>: сущность и методы защиты.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10. Электронная коммерция – понятие и основные разновидности.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11. Классификация предприятий по степени использования традиционных и электронных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инструментов ведения бизнеса.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12. Преимущества ведения бизнеса в сети Интернет.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13. Веб-представительство компании.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14. Способы организации интернет-представительства.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15. Алгоритм работы интернет-магазина.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16. Преимущества и недостатки интернет-магазина по сравнению с традиционным магазином.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17. Электронные деньги.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2E4299">
              <w:rPr>
                <w:rFonts w:cs="Times New Roman"/>
                <w:bCs/>
                <w:sz w:val="28"/>
                <w:szCs w:val="28"/>
              </w:rPr>
              <w:t>18. Электронный маркетинг – понятие и основные инструменты.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372C6" w:rsidRPr="002E4299" w:rsidRDefault="00C372C6" w:rsidP="00C372C6">
            <w:pPr>
              <w:tabs>
                <w:tab w:val="left" w:pos="1418"/>
              </w:tabs>
              <w:spacing w:line="264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E4299">
              <w:rPr>
                <w:rFonts w:cs="Times New Roman"/>
                <w:b/>
                <w:sz w:val="28"/>
                <w:szCs w:val="28"/>
              </w:rPr>
              <w:t>Вопросы для устного и письменного опроса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1. Как определяется термин «информационная революция»?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2. Факторы, влияющие на формирование информационного общества.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3. Информационные технологии и их виды.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4. Какие уровни информации воплощены в различных материальных объектах?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5. В чем состоит роль информации в развитии общества?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6. Дайте определение термину «информационная культура».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7. Как определяется термин «информационные ресурсы»?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8. Что такое «информационный потенциал»?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9. Определите назначение электронной цифровой подписи.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lastRenderedPageBreak/>
              <w:t>10. Определите отличия терминов «знание» и «информация».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11. Перечислите функции государства в области управления национальными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информационными ресурсами.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12. Что такое «электронный документ»?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13. Дайте определение термину «конфиденциальная информация»?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14. Дайте определение информационной экономики.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15. Как определяется термин «информационная асимметрия»?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16. Трансформационные процессы при становлении информационной экономики.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17. Перечислите основные свойства информационного товара. В чем заключается его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двойственность?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18. В чем заключается полезность информационного продукта?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19. Проанализируйте основные подходы к определению ценности (стоимости)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информационного продукта.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20. Инерция и инновация в информационной экономике.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21. Что такое «справедливая цена» информационного товара?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22. Перечислите фазы жизненного цикла информационного продукта.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23. Как определяются термины «информационный работник», «информационная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занятость», «телеработа»?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24. Что такое «информационная корпорация»?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25. Способы управления в системе информационной экономики.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26. Какие информационные образовательные технологии вы знаете?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27. Что представляет собой информационная инфраструктура?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28. Перечислите основные виды сетевых структур.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lastRenderedPageBreak/>
              <w:t>29. Перечислите основные формы электронной торговли.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30. Интернет-бизнес и его виды.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31. Электронные платежные системы.</w:t>
            </w:r>
          </w:p>
          <w:p w:rsidR="00C372C6" w:rsidRPr="002E4299" w:rsidRDefault="00C372C6" w:rsidP="00C372C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2E4299">
              <w:rPr>
                <w:rFonts w:cs="Times New Roman"/>
                <w:bCs/>
                <w:color w:val="000000"/>
                <w:sz w:val="28"/>
                <w:szCs w:val="28"/>
              </w:rPr>
              <w:t>32. В чем сущность интеллектуальной собственности и авторского права?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Экзамен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Промежуточная аттестация по дисциплине «Цифровая экономика» завершает изучение курса и проходит в виде экзамена. Экзамен проводится согласно расписанию зачетно-экзаменационной сессии. До экзамена не допускаются студенты, не выполнившие и не прошедшие защиту курсового проекта. Оценка «отлично» может быть выставлена автоматически студентам, посетившим все лекции и практические занятия, при наличии конспекта, при сданных в установленные сроки и выполненных без замечаний контрольных работах. Фамилии студентов, получивших оценку «отлично» автоматически, объявляются в день проведения экзамена, до начала испытания.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До начала экзамена все студенты должны предоставить выполненные и зачтенные контрольные работы.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На последнем практическом занятии, предшествующем проведению экзамена, преподаватель должен определить студентам исходные данные для подготовки к экзамену: назвать разделы (темы, вопросы), по которым будут задания в тестовой форме, теоретические источники (с точным указанием разделов, тем) для подготовки. Экзамен проводится в форме письменного ответа на вопросы билета. Студенту предлагается 3 вопроса в билете.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Каждому студенту отводится на ответ 60 минут, по 20 минут на каждый вопрос. До окончания времени письменного ответа студент может еще раз просмотреть все свои ответы на вопросы и при необходимости внести коррективы. Оценка результатов экзамена производится преподавателем по окончании ответов на основные и дополнительные вопросы студентом, результаты оценки доводятся до студента сразу по окончании ответов. </w:t>
            </w:r>
            <w:r>
              <w:rPr>
                <w:rFonts w:cs="Times New Roman"/>
                <w:noProof/>
                <w:sz w:val="28"/>
                <w:szCs w:val="28"/>
              </w:rPr>
              <w:br/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>При прохождении экзамена пользоваться конспектами лекций, учебниками, и иными материалами не разрешено.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В случае неудовлетворительного результата назначается день и время повторного экзамена.</w:t>
            </w:r>
          </w:p>
          <w:p w:rsidR="008354A9" w:rsidRDefault="008354A9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  <w:p w:rsidR="008354A9" w:rsidRDefault="008354A9" w:rsidP="008354A9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 w:rsidRPr="008354A9">
              <w:rPr>
                <w:rFonts w:cs="Times New Roman"/>
                <w:b/>
                <w:noProof/>
                <w:sz w:val="28"/>
                <w:szCs w:val="28"/>
              </w:rPr>
              <w:t>Типовые вопросы к экзамену по дисциплине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bookmarkStart w:id="0" w:name="_GoBack"/>
            <w:bookmarkEnd w:id="0"/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«Цифровая экономика»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1. Экономическая информация. Информационный ресурс как основа информатизации экономической деятельности.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2. Информация и информационные процессы в организационно-экономической сфере.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3. Сущность, значение и закономерности развития информационных систем и технологий в современной экономике.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4. Понятие экономическая информационная система? Классификация информационных систем.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5. Структура и состав экономической информационной системы. Функциональные и обеспечивающие подсистемы экономической информационной системы.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6. Современные системы управления ресурсами предприятия.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7. Основные классы технологий. Базовые методы обработки экономической информации.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8. Роль и место автоматизированных систем в экономике.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9. CASE - технологии. Понятие и основные принципы структурного анализа и проектирования ЭИС.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10. Назначение и возможности искусственного интеллекта в экономике и управлении.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11. Основные направления развития телекоммуникационных технологий в экономической информационной системе.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12. Корпоративные информационные системы.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13. Электронная коммерция. Электронные платёжные системы в Internet.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lastRenderedPageBreak/>
              <w:t>14. Цифровая экономика как дальнейшее развитие информационной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15. Цифровая экономика и цифровая трансформация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16. Движущие силы и этапы цифровой трансформации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17. Технологические основы и инфраструктура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18. Распределенные вычисления и хранилище данных (облачное хранение)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19. Биотехнологии и решение экологических проблем в цифровой экономике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20. Микроэкономические изменения в ходе цифровой трансформации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21. Макроэкономические параметры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22. Социальные проблемы и их решение в цифровой экономике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23. Проблемы цифровой безопасности. Новые условия производства и изменение производительности вцифровой экономике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24. Характер изменений на рынке труда цифровой экономики. Структура спроса и предложения.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25. Направления изменений на рынке капитала в условиях цифровой экономики.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26. Экономическая эффективность. Эффективность распределения, производства и потребления в условияхцифровой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27. Понятие bigdata. Новые подходы к накоплению и обработке данных в экономике и финансах на микро- имакроуровнях.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28. Открытые данные компьютерных поисковых систем и социальных сетей. GoogleTrends. YandexWorstat.Прогнозирование социально- экономических процессов в режиме реального времени (nowcasting)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29. Экономические основы технологии распределенных реестров хранения информации (блокчейн) икриптовалют. Базовые процедуры и техники обработки больших данных: простейшие методы машинного обучения(machinelearning)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30. Государственное регулирование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31. Участие государства в развитии основных направлений цифровой </w:t>
            </w:r>
            <w:r w:rsidRPr="008354A9">
              <w:rPr>
                <w:rFonts w:cs="Times New Roman"/>
                <w:noProof/>
                <w:sz w:val="28"/>
                <w:szCs w:val="28"/>
              </w:rPr>
              <w:lastRenderedPageBreak/>
              <w:t>экономики (электронное правительство,информационная инфраструктура, научные исследования, образование и кадры, информационная безопасностьи т.д.)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32. Институциональная среда для цифровой экономики. Правовое регулирование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33. Законодательное сопровождение, регулирующие институты, участие в создании и виды стимулирования формирования цифровой экономики.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34. Копцепция Индустрия 4.0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35. Программа «Цифровая экономика развития Российской Федерации». Дорожная карта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36. Сравнительный анализ развития цифровой экономики на примере двух стран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37. Налогообложение электронной коммерции в России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38. Проблемы создания и реализации цифрового продукта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39. Особенности развития цифровой экономики в различных отраслях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40. Виды продуктов цифровой экономики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41. Риски цифровизации экономики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42. Прогноз развития цифровой экономики в мире к 2035 году. Ведущие страны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43. Тенденции развития торговли в условиях цифровой экономики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44. Возможности и инфраструктура для создания продуктов для рынка AeroNet, AutoNet, MariNet, их коммерциализация и доведение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45. Возможности и инфраструктура для создания продуктов для рынка NeuroNet, HealthNet, FoodNet, их коммерциализация и доведение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46. Возможности и инфраструктура для создания продуктов для рынка EnergyNet,SafeNet,FinNet, их коммерциализация и доведение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47. Возможности и инфраструктура для создания продуктов для рынка интернета вещей в России, механизмы их коммерциализации и доведения до </w:t>
            </w:r>
            <w:r w:rsidRPr="008354A9"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48. Возможности и инфраструктура для создания продуктов для рынка робототехники, механизмы их коммерциализации и доведения до конечного потребителя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 xml:space="preserve">49. Механизмы и перспективы экспорта цифровых продуктов России 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50. Блокчейн и криптовалюта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51. Сбор данных с интернет ресурсов (WEB-scraping и язык Python)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52. Статистический анализ больших данных. Язык и среда R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53. Мониторинг социальных сетей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54. Интернет вещей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55. Искусственный интеллект и машинное обучение.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56. Анализ больших данных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57. Платформы цифровой экономики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58. Существующие цифровые стратегии в мире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59. Цифровая экономика США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60. Цифровая экономика Китая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62. Цифровая экономика стран Европейского союза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63. Перспективные направления и сервисы цифровой экономики. Опыт Евросоюза</w:t>
            </w:r>
          </w:p>
          <w:p w:rsidR="008354A9" w:rsidRP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64. Стратегия развития информационного общества в Российской Федерации и Программа «Цифровая экономика Российской Федерации»</w:t>
            </w:r>
          </w:p>
          <w:p w:rsidR="00B26104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 w:rsidRPr="008354A9">
              <w:rPr>
                <w:rFonts w:cs="Times New Roman"/>
                <w:noProof/>
                <w:sz w:val="28"/>
                <w:szCs w:val="28"/>
              </w:rPr>
              <w:t>65. Подготовка специалистов в области информационно-коммуникационных технологий</w:t>
            </w:r>
          </w:p>
          <w:p w:rsidR="008354A9" w:rsidRDefault="008354A9" w:rsidP="008354A9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</w:tbl>
    <w:p w:rsidR="00B26104" w:rsidRDefault="00460B45" w:rsidP="00C372C6">
      <w:pPr>
        <w:keepNext/>
        <w:spacing w:line="360" w:lineRule="auto"/>
        <w:ind w:firstLine="567"/>
        <w:jc w:val="center"/>
        <w:rPr>
          <w:rFonts w:cs="Times New Roman"/>
          <w:b/>
          <w:noProof/>
          <w:sz w:val="28"/>
          <w:szCs w:val="28"/>
        </w:rPr>
      </w:pPr>
      <w:r>
        <w:rPr>
          <w:rFonts w:cs="Times New Roman"/>
          <w:b/>
          <w:noProof/>
          <w:sz w:val="28"/>
          <w:szCs w:val="28"/>
        </w:rPr>
        <w:lastRenderedPageBreak/>
        <w:t>Шкалы оценивания результатов обучения.</w:t>
      </w:r>
    </w:p>
    <w:tbl>
      <w:tblPr>
        <w:tblStyle w:val="a7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t>Оценивание доклада (реферата) студента</w:t>
            </w:r>
          </w:p>
          <w:p w:rsidR="008354A9" w:rsidRDefault="008354A9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Доклад должен состоять из вступления (название темы и цели исследования), основной части и заключения (выводы, значение рассмотренного вопроса). Во время доклада студент может использовать наглядный материал (презентация). </w:t>
            </w:r>
            <w:r>
              <w:rPr>
                <w:rFonts w:cs="Times New Roman"/>
                <w:noProof/>
                <w:sz w:val="28"/>
                <w:szCs w:val="28"/>
              </w:rPr>
              <w:br/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>Оценка доклада проходит по следующим критериям: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самостоятельность выполнения,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способность аргументировать положения и выводы,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обоснованность, четкость, лаконичность,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оригинальность постановки проблемы,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уровень освоения темы и изложения материала,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соответствие структуре, уровень наглядности материала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Преподаватель комментирует выступление студента и дает устную оценку проделанной работе, которая учитывается при проведении промежуточной аттестации в виде дополнительного балла (балл рассматривается в результате выступления).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может быть дана как результатам участия конкретного студента, так и группе в целом.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 xml:space="preserve">Оценка «зачет» — в выступлении нет грубых ошибок. Группа активна, высказываются комментарии, даются практические примеры, возникает дискуссия по тематике доклада. 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«незачет» — нет ответа на вопросы. Группа не активна.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Оценивание результатов при выполнении командного (ситуационного) задания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b/>
                <w:noProof/>
                <w:sz w:val="28"/>
                <w:szCs w:val="28"/>
              </w:rPr>
            </w:pP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«Отлично» - студент активно участвует в командном обсуждении, предлагает и обосновывает варианты решений, участвует в представлении отчета по заданию, в ответах на вопросы преподавателя и студентов, использует в качестве аргументов основные понятия и характеристики в соответствии с теоретическим материалом.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«Хорошо» - студент участвует в командном обсуждении, прислушивается к предложениям членов команды, участвует в представлении отчета по заданию, в ответах на вопросы преподавателя и студентов, не всегда опирается на теоретический материал, нет полного понимания всех необходимых элементов разрабатываемой ситуации.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lastRenderedPageBreak/>
              <w:t>«Удовлетворительно» - студент не достаточно активно участвует в командном обсуждении, неактивно участвует в представлении отчета по заданию, не вполне активно и правильно отвечает на вопросы преподавателя и студентов, не всегда опирается на теоретический материал, нет полного понимания всех необходимых элементов разрабатываемой ситуации, на вопросы отвечает не полно, присутствуют ошибки, однако есть некоторое понимание раскрываемых понятий.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«Неудовлетворительно» - студент не участвует в командном обсуждении, отвлекается, не предлагает решений, не участвует в представлении проекта отчета, ответы на вопросы отсутствуют или в целом не верны.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Оценивание результатов устных и письменных опросов на практических занятиях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b/>
                <w:noProof/>
                <w:sz w:val="28"/>
                <w:szCs w:val="28"/>
              </w:rPr>
            </w:pP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Уровень знаний определяется оценками «отлично», «хорошо», «удовлетворительно», «неудовлетворительно».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«отлично» - студент показывает полные и глубокие знания программного материала, логично и аргументировано отвечает на поставленный вопрос, а также дополнительные вопросы, показывает высокий уровень теоретических знаний.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«хорошо» - студент показывает глубокие знания программного материала, грамотно его излагает, достаточно полно отвечает на поставленный вопрос и дополнительные вопросы, умело формулирует выводы. В тоже время при ответе допускает несущественные погрешности.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«удовлетворительно» - студент показывает достаточные, но не глубокие знания программного материала; при ответе не допускает грубых ошибок или противоречий, однако в формулировании ответа отсутствует должная связь между анализом, аргументацией и выводами. Для получения правильного ответа требуется уточняющие вопросы.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 xml:space="preserve">Оценка «неудовлетворительно» - студент показывает недостаточные </w:t>
            </w:r>
            <w:r>
              <w:rPr>
                <w:rFonts w:cs="Times New Roman"/>
                <w:noProof/>
                <w:sz w:val="28"/>
                <w:szCs w:val="28"/>
              </w:rPr>
              <w:lastRenderedPageBreak/>
              <w:t xml:space="preserve">знания программного материала, не способен аргументировано и последовательно его излагать, допускается грубые ошибки в ответах, неправильно отвечает на поставленный вопрос или затрудняется с ответом. 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</w:p>
        </w:tc>
      </w:tr>
      <w:tr w:rsidR="00B26104">
        <w:trPr>
          <w:jc w:val="center"/>
        </w:trPr>
        <w:tc>
          <w:tcPr>
            <w:tcW w:w="5000" w:type="pct"/>
            <w:hideMark/>
          </w:tcPr>
          <w:p w:rsidR="00B26104" w:rsidRDefault="00460B45" w:rsidP="00C372C6">
            <w:pPr>
              <w:spacing w:line="360" w:lineRule="auto"/>
              <w:ind w:firstLine="567"/>
              <w:jc w:val="center"/>
              <w:rPr>
                <w:rFonts w:cs="Times New Roman"/>
                <w:b/>
                <w:noProof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sz w:val="28"/>
                <w:szCs w:val="28"/>
              </w:rPr>
              <w:lastRenderedPageBreak/>
              <w:t>Оценивание экзамена</w:t>
            </w:r>
          </w:p>
          <w:p w:rsidR="00C372C6" w:rsidRDefault="00C372C6" w:rsidP="00C372C6">
            <w:pPr>
              <w:spacing w:line="360" w:lineRule="auto"/>
              <w:ind w:firstLine="567"/>
              <w:jc w:val="both"/>
              <w:rPr>
                <w:rFonts w:cs="Times New Roman"/>
                <w:b/>
                <w:noProof/>
                <w:sz w:val="28"/>
                <w:szCs w:val="28"/>
              </w:rPr>
            </w:pP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Ответ студента оценивается одной из следующих оценок: «отлично», «хорошо», «удовлетворительно», «неудовлетворительно».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«удовлетворительно»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«хорошо»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«отлично»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Оценка «неудовлетворительно» выставляется в случае, когда количество неправильных ответов превышает количество допустимых для положительной оценки.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При дистанционной форме в виде электронного тестирования:</w:t>
            </w:r>
            <w:r>
              <w:rPr>
                <w:rFonts w:cs="Times New Roman"/>
                <w:noProof/>
                <w:sz w:val="28"/>
                <w:szCs w:val="28"/>
              </w:rPr>
              <w:br/>
              <w:t>Оценка результатов электронного тестирования производится компьютерной программой, результат выдается немедленно по окончании теста.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lastRenderedPageBreak/>
              <w:t>Критерии оценки: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«отлично» - 90-100 %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«хорошо» - 70-90 %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«удовлетворительно» - 60-70 %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«неудовлетворительно» - 0-60 % правильных ответов на предъявленные вопросы;</w:t>
            </w:r>
          </w:p>
          <w:p w:rsidR="00C372C6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Всего предъявляемых вопросов в тесте: 20.</w:t>
            </w:r>
          </w:p>
          <w:p w:rsidR="00B26104" w:rsidRDefault="00460B45" w:rsidP="00C372C6">
            <w:pPr>
              <w:spacing w:line="360" w:lineRule="auto"/>
              <w:ind w:firstLine="567"/>
              <w:jc w:val="both"/>
              <w:rPr>
                <w:rFonts w:cs="Times New Roman"/>
                <w:noProof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t>Норма времени на прохождение всего теста: 60 мин.</w:t>
            </w:r>
          </w:p>
        </w:tc>
      </w:tr>
    </w:tbl>
    <w:p w:rsidR="00460B45" w:rsidRDefault="00460B45" w:rsidP="00C372C6">
      <w:pPr>
        <w:spacing w:line="360" w:lineRule="auto"/>
        <w:jc w:val="both"/>
        <w:rPr>
          <w:rFonts w:cs="Times New Roman"/>
          <w:szCs w:val="24"/>
          <w:lang w:eastAsia="ru-RU"/>
        </w:rPr>
      </w:pPr>
    </w:p>
    <w:sectPr w:rsidR="00460B45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83"/>
    <w:rsid w:val="00182483"/>
    <w:rsid w:val="00460B45"/>
    <w:rsid w:val="008354A9"/>
    <w:rsid w:val="00AC7A03"/>
    <w:rsid w:val="00B26104"/>
    <w:rsid w:val="00C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808B8E-A5BE-4FC7-A53A-88709AD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0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Танифа Дмитрий Сергеевич</cp:lastModifiedBy>
  <cp:revision>3</cp:revision>
  <dcterms:created xsi:type="dcterms:W3CDTF">2021-05-24T23:02:00Z</dcterms:created>
  <dcterms:modified xsi:type="dcterms:W3CDTF">2025-11-19T14:38:00Z</dcterms:modified>
</cp:coreProperties>
</file>