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F" w:rsidRPr="008F1B5A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9A72CF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A72CF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Pr="009A72CF">
        <w:rPr>
          <w:b/>
          <w:sz w:val="28"/>
          <w:szCs w:val="28"/>
        </w:rPr>
        <w:t>Микроэкономика</w:t>
      </w:r>
      <w:r>
        <w:rPr>
          <w:b/>
          <w:sz w:val="28"/>
          <w:szCs w:val="28"/>
        </w:rPr>
        <w:t>»</w:t>
      </w:r>
    </w:p>
    <w:p w:rsidR="000D491B" w:rsidRDefault="000D491B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0D491B" w:rsidRDefault="000854F0">
      <w:pPr>
        <w:ind w:firstLine="567"/>
        <w:rPr>
          <w:bCs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Оценивание знаний, умений и навыков по учебной дисциплине «Микр</w:t>
      </w:r>
      <w:r w:rsidR="00931AD2">
        <w:rPr>
          <w:rFonts w:cs="Times New Roman"/>
          <w:noProof/>
          <w:sz w:val="28"/>
          <w:szCs w:val="28"/>
        </w:rPr>
        <w:t>оэкономика</w:t>
      </w:r>
      <w:r>
        <w:rPr>
          <w:rFonts w:cs="Times New Roman"/>
          <w:noProof/>
          <w:sz w:val="28"/>
          <w:szCs w:val="28"/>
        </w:rPr>
        <w:t>»</w:t>
      </w:r>
      <w:r>
        <w:rPr>
          <w:bCs/>
          <w:sz w:val="28"/>
          <w:szCs w:val="28"/>
        </w:rPr>
        <w:t xml:space="preserve"> осуществляется посредством использования следующих видов оценочных средств: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1. Дискуссия</w:t>
            </w: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2. Решение задач на практических занятиях</w:t>
            </w: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D491B" w:rsidP="005F2C12">
            <w:pPr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5F2C12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3</w:t>
            </w:r>
            <w:r w:rsidR="000854F0">
              <w:rPr>
                <w:rFonts w:cs="Times New Roman"/>
                <w:noProof/>
                <w:sz w:val="28"/>
                <w:szCs w:val="28"/>
              </w:rPr>
              <w:t>. Экзамен</w:t>
            </w:r>
          </w:p>
        </w:tc>
      </w:tr>
    </w:tbl>
    <w:p w:rsidR="000D491B" w:rsidRDefault="000D491B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Дискуссия</w:t>
            </w:r>
          </w:p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Дискуссия – интерактивная форма обучения, осуществляется во время проведения практических занятий. Дискуссия состоит в обмене взглядами по конкретной теме между студентами, студентами и преподавателем, между группами студентов и т.д., обеспечивает сознательное усвоение учебного материала как продукта мыслительной его проработки.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Главный фактор для повышения эффективности любой дискуссии – это сопоставление различных позиций участников. Во время дискуссии оппоненты могут либо дополнять друг друга, либо противостоять один другому. В первом случае больше будут проявляться качества, присущие диалогу, во втором – дискуссия будет носить характер спора, т.е. отстаивание позиции. Как правило, в дискуссии присутствуют оба элемента.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Активность участия в дискуссии учитывается преподавателем в ходе промежуточной аттестации.</w:t>
            </w: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Решение задач на практических занятиях</w:t>
            </w:r>
          </w:p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Задачи могут решаться как группой студентов, так и отдельными студентами. Решение задач может проходить с участием преподавателя, ведущего практические занятия, так и самостоятельно студентами или группой студентов. При решении задач студентам необходимо продемонстрировать умение владеть теоретическим материалом как в части применения методов расчета различных показателей, так и умение делать выводы по результатам расчетов.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Активность при формировании выводов по результатам расчетов, правильность расчетов и формулировка выводов учитывается преподавателем в ходе промежуточной аттестации.</w:t>
            </w: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D491B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Экзамен</w:t>
            </w:r>
          </w:p>
          <w:p w:rsidR="000D491B" w:rsidRDefault="000854F0" w:rsidP="005F2C12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Экзамен проводится в форме устного ответа на вопросы билетов.. Количество вопросов в билете – 3.</w:t>
            </w:r>
          </w:p>
        </w:tc>
      </w:tr>
    </w:tbl>
    <w:p w:rsidR="000D491B" w:rsidRDefault="000D491B">
      <w:pPr>
        <w:ind w:firstLine="567"/>
        <w:rPr>
          <w:rFonts w:cs="Times New Roman"/>
          <w:noProof/>
          <w:sz w:val="28"/>
          <w:szCs w:val="28"/>
        </w:rPr>
      </w:pPr>
    </w:p>
    <w:p w:rsidR="000D491B" w:rsidRDefault="000854F0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Шкалы оценивания результатов обучения.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Оценивание результатов участия в дискуссии</w:t>
            </w:r>
          </w:p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Участие студента оценивается одной из следующих оценок: «зачет», «незачет» и учитывается при формировании оценки при ответе на вопросы экзамена.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может быть дана как результатам участия конкретного студента, так и группе в целом.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Оценка «зачет» — в выступлении нет грубых ошибок. Группа активна, высказываются комментарии, даются практические примеры, возникает дискуссия по заданной тематике.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«незачет» — нет ответа на вопросы. Группа не активна.</w:t>
            </w: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D491B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854F0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b/>
                <w:noProof/>
                <w:sz w:val="28"/>
                <w:szCs w:val="28"/>
              </w:rPr>
              <w:t>Оценивание результатов на экзамене</w:t>
            </w:r>
          </w:p>
          <w:p w:rsidR="000D491B" w:rsidRDefault="000854F0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Ответ студента оценивается одной из следующих оценок: отлично, хорошо, удовлетворительно, неудовлетворительно.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Ответ на 1 вопрос из 3 – «удовлетворительно», на 2 из 3– «хорошо», на 3 из 3 вопросов билета при полном раскрытии вопросов– «отлично».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Оценка «неудовлетворительно» выставляется в случае, когда количество неправильных ответов превышает количество допустимых для положительной оценки. </w:t>
            </w:r>
          </w:p>
        </w:tc>
      </w:tr>
    </w:tbl>
    <w:p w:rsidR="000854F0" w:rsidRDefault="000854F0">
      <w:pPr>
        <w:rPr>
          <w:rFonts w:cs="Times New Roman"/>
          <w:szCs w:val="24"/>
          <w:lang w:eastAsia="ru-RU"/>
        </w:rPr>
      </w:pPr>
    </w:p>
    <w:sectPr w:rsidR="000854F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D2"/>
    <w:rsid w:val="000854F0"/>
    <w:rsid w:val="000D491B"/>
    <w:rsid w:val="005F2C12"/>
    <w:rsid w:val="00931AD2"/>
    <w:rsid w:val="009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3B5040-39ED-4024-BE4B-6B212226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Танифа Дмитрий Сергеевич</cp:lastModifiedBy>
  <cp:revision>4</cp:revision>
  <dcterms:created xsi:type="dcterms:W3CDTF">2021-05-17T15:14:00Z</dcterms:created>
  <dcterms:modified xsi:type="dcterms:W3CDTF">2025-11-19T14:48:00Z</dcterms:modified>
</cp:coreProperties>
</file>