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FF" w:rsidRPr="00354926" w:rsidRDefault="00353FFF" w:rsidP="00353FFF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:rsidR="00353FFF" w:rsidRPr="00A45058" w:rsidRDefault="00353FFF" w:rsidP="00353FFF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353FFF" w:rsidRPr="00A45058" w:rsidRDefault="00353FFF" w:rsidP="00353FFF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</w:t>
      </w:r>
      <w:bookmarkStart w:id="0" w:name="_GoBack"/>
      <w:bookmarkEnd w:id="0"/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по дисциплине </w:t>
      </w:r>
    </w:p>
    <w:p w:rsidR="00742E58" w:rsidRPr="005C75A0" w:rsidRDefault="00353FFF" w:rsidP="00353FF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5C75A0">
        <w:rPr>
          <w:rFonts w:ascii="Times New Roman" w:hAnsi="Times New Roman"/>
          <w:b/>
          <w:iCs/>
          <w:sz w:val="28"/>
          <w:szCs w:val="28"/>
        </w:rPr>
        <w:t>«</w:t>
      </w:r>
      <w:r w:rsidR="00173AC3" w:rsidRPr="00173AC3">
        <w:rPr>
          <w:rFonts w:ascii="Times New Roman" w:hAnsi="Times New Roman"/>
          <w:b/>
          <w:noProof/>
          <w:sz w:val="28"/>
          <w:szCs w:val="28"/>
        </w:rPr>
        <w:t>История и методология транспортно-правовой науки</w:t>
      </w:r>
      <w:r w:rsidR="00173AC3">
        <w:rPr>
          <w:rFonts w:ascii="Times New Roman" w:hAnsi="Times New Roman"/>
          <w:b/>
          <w:noProof/>
          <w:sz w:val="28"/>
          <w:szCs w:val="28"/>
        </w:rPr>
        <w:t>»</w:t>
      </w:r>
    </w:p>
    <w:p w:rsidR="00173AC3" w:rsidRDefault="00173AC3" w:rsidP="00B6770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D0E8B" w:rsidRDefault="0054151A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4151A">
        <w:rPr>
          <w:rFonts w:ascii="Times New Roman" w:hAnsi="Times New Roman"/>
          <w:b/>
          <w:bCs/>
          <w:sz w:val="28"/>
          <w:szCs w:val="28"/>
        </w:rPr>
        <w:t>Оценка знаний по компетенции ОПК-1</w:t>
      </w:r>
    </w:p>
    <w:p w:rsidR="0054151A" w:rsidRPr="0054151A" w:rsidRDefault="0054151A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4151A" w:rsidRDefault="005B2EB2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Семестр 3</w:t>
      </w:r>
    </w:p>
    <w:p w:rsidR="0054151A" w:rsidRPr="0054151A" w:rsidRDefault="0054151A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22455" w:rsidRPr="005C75A0" w:rsidRDefault="00B22455" w:rsidP="005C75A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5C75A0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 w:rsidRPr="005C75A0">
        <w:rPr>
          <w:rFonts w:ascii="Times New Roman" w:eastAsia="Calibri" w:hAnsi="Times New Roman"/>
          <w:sz w:val="28"/>
          <w:szCs w:val="28"/>
        </w:rPr>
        <w:t xml:space="preserve"> (</w:t>
      </w:r>
      <w:r w:rsidR="002E47A6">
        <w:rPr>
          <w:rFonts w:ascii="Times New Roman" w:eastAsia="Calibri" w:hAnsi="Times New Roman"/>
          <w:sz w:val="28"/>
          <w:szCs w:val="28"/>
        </w:rPr>
        <w:t>зачет</w:t>
      </w:r>
      <w:r w:rsidR="00EA6DFA" w:rsidRPr="005C75A0">
        <w:rPr>
          <w:rFonts w:ascii="Times New Roman" w:eastAsia="Calibri" w:hAnsi="Times New Roman"/>
          <w:sz w:val="28"/>
          <w:szCs w:val="28"/>
        </w:rPr>
        <w:t>)</w:t>
      </w:r>
      <w:r w:rsidRPr="005C75A0">
        <w:rPr>
          <w:rFonts w:ascii="Times New Roman" w:eastAsia="Calibri" w:hAnsi="Times New Roman"/>
          <w:sz w:val="28"/>
          <w:szCs w:val="28"/>
        </w:rPr>
        <w:t xml:space="preserve"> обучающ</w:t>
      </w:r>
      <w:r w:rsidR="002E47A6">
        <w:rPr>
          <w:rFonts w:ascii="Times New Roman" w:eastAsia="Calibri" w:hAnsi="Times New Roman"/>
          <w:sz w:val="28"/>
          <w:szCs w:val="28"/>
        </w:rPr>
        <w:t xml:space="preserve">емуся </w:t>
      </w:r>
      <w:r w:rsidR="00A11AF2">
        <w:rPr>
          <w:rFonts w:ascii="Times New Roman" w:eastAsia="Calibri" w:hAnsi="Times New Roman"/>
          <w:sz w:val="28"/>
          <w:szCs w:val="28"/>
        </w:rPr>
        <w:t>предлагается ответить на 1</w:t>
      </w:r>
      <w:r w:rsidR="002E47A6">
        <w:rPr>
          <w:rFonts w:ascii="Times New Roman" w:eastAsia="Calibri" w:hAnsi="Times New Roman"/>
          <w:sz w:val="28"/>
          <w:szCs w:val="28"/>
        </w:rPr>
        <w:t xml:space="preserve"> вопрос</w:t>
      </w:r>
      <w:r w:rsidRPr="005C75A0">
        <w:rPr>
          <w:rFonts w:ascii="Times New Roman" w:eastAsia="Calibri" w:hAnsi="Times New Roman"/>
          <w:sz w:val="28"/>
          <w:szCs w:val="28"/>
        </w:rPr>
        <w:t>.</w:t>
      </w: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173AC3" w:rsidRPr="00173AC3" w:rsidRDefault="00173AC3" w:rsidP="00173AC3">
      <w:pPr>
        <w:spacing w:after="0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73AC3">
        <w:rPr>
          <w:rFonts w:ascii="Times New Roman" w:eastAsia="Calibri" w:hAnsi="Times New Roman"/>
          <w:b/>
          <w:sz w:val="28"/>
          <w:szCs w:val="28"/>
        </w:rPr>
        <w:t>Примерный перечень вопросов</w:t>
      </w:r>
    </w:p>
    <w:p w:rsidR="00173AC3" w:rsidRPr="00173AC3" w:rsidRDefault="00173AC3" w:rsidP="00173AC3">
      <w:pPr>
        <w:spacing w:after="0"/>
        <w:ind w:firstLine="709"/>
        <w:rPr>
          <w:rFonts w:ascii="Times New Roman" w:eastAsia="Calibri" w:hAnsi="Times New Roman"/>
          <w:sz w:val="28"/>
          <w:szCs w:val="28"/>
        </w:rPr>
      </w:pP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История транспортных правоотношений в древнерусском государстве.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Транспортное законодательство в Московском</w:t>
      </w:r>
      <w:r w:rsidRPr="00173AC3">
        <w:rPr>
          <w:rFonts w:ascii="Times New Roman" w:hAnsi="Times New Roman"/>
          <w:sz w:val="28"/>
          <w:szCs w:val="28"/>
        </w:rPr>
        <w:t xml:space="preserve"> </w:t>
      </w:r>
      <w:hyperlink w:anchor="bookmark3" w:tooltip="Current Document" w:history="1">
        <w:r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>государстве. Соборное уложение 1649 года и регулирование отношений транспортной инфраструктуры Московского государства.</w:t>
        </w:r>
        <w:r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ab/>
        </w:r>
      </w:hyperlink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Правовое регулирование общественных отношений в транспортной сфере в эпоху Петра 1.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Водные пути сообщения в правление Александра I и Николая I.</w:t>
      </w:r>
    </w:p>
    <w:p w:rsidR="00173AC3" w:rsidRPr="00173AC3" w:rsidRDefault="00C708E4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hyperlink w:anchor="bookmark5" w:tooltip="Current Document" w:history="1">
        <w:r w:rsidR="00173AC3" w:rsidRPr="00173AC3">
          <w:rPr>
            <w:rFonts w:ascii="Times New Roman" w:hAnsi="Times New Roman"/>
            <w:bCs/>
            <w:color w:val="000000"/>
            <w:sz w:val="28"/>
            <w:szCs w:val="28"/>
            <w:lang w:eastAsia="ru-RU"/>
          </w:rPr>
          <w:t xml:space="preserve">Водные и сухопутные пути сообщения и их правовое регулирование в первой четверти </w:t>
        </w:r>
        <w:r w:rsidR="00173AC3" w:rsidRPr="00173AC3">
          <w:rPr>
            <w:rFonts w:ascii="Times New Roman" w:hAnsi="Times New Roman"/>
            <w:bCs/>
            <w:color w:val="000000"/>
            <w:sz w:val="28"/>
            <w:szCs w:val="28"/>
            <w:lang w:val="en-US" w:eastAsia="ru-RU"/>
          </w:rPr>
          <w:t>XIX</w:t>
        </w:r>
        <w:r w:rsidR="00173AC3" w:rsidRPr="00173AC3">
          <w:rPr>
            <w:rFonts w:ascii="Times New Roman" w:hAnsi="Times New Roman"/>
            <w:bCs/>
            <w:color w:val="000000"/>
            <w:sz w:val="28"/>
            <w:szCs w:val="28"/>
            <w:lang w:eastAsia="ru-RU"/>
          </w:rPr>
          <w:t xml:space="preserve"> столетия в России</w:t>
        </w:r>
        <w:r w:rsidR="00173AC3" w:rsidRPr="00173AC3">
          <w:rPr>
            <w:rFonts w:ascii="Times New Roman" w:hAnsi="Times New Roman"/>
            <w:sz w:val="28"/>
            <w:szCs w:val="28"/>
          </w:rPr>
          <w:t>.</w:t>
        </w:r>
        <w:r w:rsidR="00173AC3"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 xml:space="preserve"> </w:t>
        </w:r>
      </w:hyperlink>
    </w:p>
    <w:p w:rsidR="00173AC3" w:rsidRPr="00173AC3" w:rsidRDefault="00C708E4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hyperlink w:anchor="bookmark4" w:tooltip="Current Document" w:history="1">
        <w:r w:rsidR="00173AC3"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 xml:space="preserve">Развитие транспортного законодательства в XVIII столетии. Правление Екатерины II и дорожное законодательство. </w:t>
        </w:r>
        <w:r w:rsidR="00173AC3" w:rsidRPr="00173AC3">
          <w:rPr>
            <w:rFonts w:ascii="Times New Roman" w:hAnsi="Times New Roman"/>
            <w:color w:val="000000"/>
            <w:sz w:val="28"/>
            <w:szCs w:val="28"/>
            <w:lang w:eastAsia="ru-RU"/>
          </w:rPr>
          <w:tab/>
        </w:r>
      </w:hyperlink>
    </w:p>
    <w:p w:rsidR="00EF29F0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Зарождение и развитие железнодорожного законодательства</w:t>
      </w:r>
      <w:r w:rsidRPr="00173AC3">
        <w:rPr>
          <w:rFonts w:ascii="Times New Roman" w:hAnsi="Times New Roman"/>
          <w:sz w:val="28"/>
          <w:szCs w:val="28"/>
        </w:rPr>
        <w:t xml:space="preserve"> </w:t>
      </w: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fldChar w:fldCharType="begin"/>
      </w: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instrText xml:space="preserve"> HYPERLINK \l "bookmark7" \o "Current Document" </w:instrText>
      </w: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fldChar w:fldCharType="separate"/>
      </w: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в XIX веке.</w:t>
      </w:r>
      <w:r w:rsidR="00EF29F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173AC3" w:rsidRPr="00173AC3" w:rsidRDefault="00EF29F0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Выдающиеся личности в истории транспорта и транспортного права России. </w:t>
      </w:r>
      <w:r w:rsidR="00173AC3" w:rsidRPr="00173AC3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="00173AC3" w:rsidRPr="00173AC3">
        <w:rPr>
          <w:rFonts w:ascii="Times New Roman" w:hAnsi="Times New Roman"/>
          <w:color w:val="000000"/>
          <w:sz w:val="28"/>
          <w:szCs w:val="28"/>
          <w:lang w:eastAsia="ru-RU"/>
        </w:rPr>
        <w:fldChar w:fldCharType="end"/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Регулирование концессионных отношений в железнодорожной сфере.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Законотворческая деятельность и железнодорожный транспорт при Александре II.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Тарифная реформа И.А. Вышнеградского в контексте транспортного законодательства.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3AC3">
        <w:rPr>
          <w:rFonts w:ascii="Times New Roman" w:hAnsi="Times New Roman"/>
          <w:color w:val="000000"/>
          <w:sz w:val="28"/>
          <w:szCs w:val="28"/>
          <w:lang w:eastAsia="ru-RU"/>
        </w:rPr>
        <w:t>Создание министерства путей сообщений и железнодорожное законодательство в эпоху Александра III: новый этап в железнодорожном законодательстве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lastRenderedPageBreak/>
        <w:t xml:space="preserve">Предмет и значение </w:t>
      </w:r>
      <w:bookmarkStart w:id="1" w:name="_Hlk99978877"/>
      <w:r w:rsidRPr="00173AC3">
        <w:rPr>
          <w:rFonts w:ascii="Times New Roman" w:hAnsi="Times New Roman"/>
          <w:sz w:val="28"/>
          <w:szCs w:val="28"/>
        </w:rPr>
        <w:t xml:space="preserve">транспортно-правовой науки </w:t>
      </w:r>
      <w:bookmarkEnd w:id="1"/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Регулирование транспортно-правовых отношений в период революционных изменений и гражданской войны. Трансформация транспортного законодательства.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Транспортное законодательство в период Великой Отечественной войны. Особенности правового регулирования железнодорожного транспорта в военный период.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Изменения транспортного законодательства в постсоветский период. Правовое регулирование железнодорожного транспорта на современном этапе как основного вида транспорта РФ.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Правовое регулирование морского и речного транспорта современной России.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Проблемы совершенствования законодательства в области регулирования трубопроводного транспорта. Анализ международно-правовых актов, связанных с трубопроводным транспортом.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Правовое регулирование авиационного транспорта современной России. Российское авиационное законодательство в условиях санкционной политики.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Транспортное право в системе российского права. Предмет и метод транспортного права.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Источники транспортного права. Проблемы и перспективы кодификации транспортного права.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Транспортное право как отрасль научного знания и учебная дисциплина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Правовое регулирование транспортной сферы в послевоенный период восстановления народного хозяйства.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Новый устав железных дорог.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Кодекс торгового мореплавания.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Правовое регулирование речного транспорта в советский период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Предмет и задачи истории транспортно-правовой науки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Становление транспортно-правовой науки в России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Транспортно-правовая наука: теория, правовое учение 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Диалектические принципы научного познания в транспортно-правовой науке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Исторический метод познания в транспортно-правовой науке 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Индукция и дедукция как методы юридического познания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Логические методы и приемы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Системный подход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lastRenderedPageBreak/>
        <w:t>Анализ и синтез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Догма права и догматический подход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Компаративистские методы транспортно-правовой науки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Становление юридической герменевтики в транспортно-правовой науке</w:t>
      </w:r>
    </w:p>
    <w:p w:rsidR="00173AC3" w:rsidRPr="00173AC3" w:rsidRDefault="00173AC3" w:rsidP="00173AC3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Предмет и значение транспортно-правовой науки.</w:t>
      </w:r>
    </w:p>
    <w:p w:rsidR="00173AC3" w:rsidRPr="00173AC3" w:rsidRDefault="00173AC3" w:rsidP="003D5099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Предмет и задачи истории транспортного права.</w:t>
      </w:r>
      <w:r w:rsidR="003D5099" w:rsidRPr="003D5099">
        <w:rPr>
          <w:rFonts w:ascii="Times New Roman" w:hAnsi="Times New Roman"/>
          <w:sz w:val="28"/>
          <w:szCs w:val="28"/>
        </w:rPr>
        <w:t xml:space="preserve"> </w:t>
      </w:r>
      <w:r w:rsidR="003D5099" w:rsidRPr="00173AC3">
        <w:rPr>
          <w:rFonts w:ascii="Times New Roman" w:hAnsi="Times New Roman"/>
          <w:sz w:val="28"/>
          <w:szCs w:val="28"/>
        </w:rPr>
        <w:t>Критерии истинности транспортно-правовых знаний.</w:t>
      </w:r>
    </w:p>
    <w:p w:rsidR="00173AC3" w:rsidRDefault="00173AC3" w:rsidP="00173AC3">
      <w:pPr>
        <w:spacing w:after="0"/>
        <w:ind w:left="709"/>
        <w:rPr>
          <w:rFonts w:ascii="Times New Roman" w:eastAsia="Calibri" w:hAnsi="Times New Roman"/>
          <w:sz w:val="28"/>
          <w:szCs w:val="28"/>
        </w:rPr>
      </w:pPr>
    </w:p>
    <w:p w:rsidR="0054151A" w:rsidRDefault="0054151A" w:rsidP="00173AC3">
      <w:pPr>
        <w:spacing w:after="0"/>
        <w:ind w:left="709"/>
        <w:rPr>
          <w:rFonts w:ascii="Times New Roman" w:hAnsi="Times New Roman"/>
          <w:b/>
          <w:bCs/>
          <w:sz w:val="28"/>
          <w:szCs w:val="28"/>
        </w:rPr>
      </w:pPr>
      <w:r w:rsidRPr="0054151A">
        <w:rPr>
          <w:rFonts w:ascii="Times New Roman" w:eastAsia="Calibri" w:hAnsi="Times New Roman"/>
          <w:b/>
          <w:sz w:val="28"/>
          <w:szCs w:val="28"/>
        </w:rPr>
        <w:t>Оценка умений и навыков</w:t>
      </w:r>
      <w:r w:rsidRPr="0054151A">
        <w:rPr>
          <w:rFonts w:ascii="Times New Roman" w:hAnsi="Times New Roman"/>
          <w:b/>
          <w:bCs/>
          <w:sz w:val="28"/>
          <w:szCs w:val="28"/>
        </w:rPr>
        <w:t xml:space="preserve"> по компетенции ОПК-1</w:t>
      </w:r>
    </w:p>
    <w:p w:rsidR="0054151A" w:rsidRPr="00173AC3" w:rsidRDefault="0054151A" w:rsidP="00173AC3">
      <w:pPr>
        <w:spacing w:after="0"/>
        <w:ind w:left="709"/>
        <w:rPr>
          <w:rFonts w:ascii="Times New Roman" w:eastAsia="Calibri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173AC3">
        <w:rPr>
          <w:rFonts w:ascii="Times New Roman" w:eastAsia="Calibri" w:hAnsi="Times New Roman"/>
          <w:sz w:val="28"/>
          <w:szCs w:val="28"/>
        </w:rPr>
        <w:t xml:space="preserve">При проведении текущего контроля обучающемуся предлагается дать ответы </w:t>
      </w:r>
      <w:r>
        <w:rPr>
          <w:rFonts w:ascii="Times New Roman" w:eastAsia="Calibri" w:hAnsi="Times New Roman"/>
          <w:sz w:val="28"/>
          <w:szCs w:val="28"/>
        </w:rPr>
        <w:t xml:space="preserve">по одному из заданий </w:t>
      </w:r>
      <w:r w:rsidRPr="00173AC3">
        <w:rPr>
          <w:rFonts w:ascii="Times New Roman" w:eastAsia="Calibri" w:hAnsi="Times New Roman"/>
          <w:sz w:val="28"/>
          <w:szCs w:val="28"/>
        </w:rPr>
        <w:t>из нижеприведенного списка.</w:t>
      </w:r>
    </w:p>
    <w:p w:rsidR="00173AC3" w:rsidRPr="00173AC3" w:rsidRDefault="00173AC3" w:rsidP="00173AC3">
      <w:pPr>
        <w:spacing w:after="0"/>
        <w:jc w:val="center"/>
        <w:rPr>
          <w:rFonts w:ascii="Times New Roman" w:eastAsia="Calibri" w:hAnsi="Times New Roman"/>
          <w:sz w:val="28"/>
          <w:szCs w:val="28"/>
        </w:rPr>
      </w:pPr>
    </w:p>
    <w:p w:rsidR="00173AC3" w:rsidRPr="00173AC3" w:rsidRDefault="00173AC3" w:rsidP="0054151A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73AC3">
        <w:rPr>
          <w:rFonts w:ascii="Times New Roman" w:eastAsia="Calibri" w:hAnsi="Times New Roman"/>
          <w:b/>
          <w:sz w:val="28"/>
          <w:szCs w:val="28"/>
        </w:rPr>
        <w:t xml:space="preserve">Примерный перечень </w:t>
      </w:r>
      <w:r>
        <w:rPr>
          <w:rFonts w:ascii="Times New Roman" w:eastAsia="Calibri" w:hAnsi="Times New Roman"/>
          <w:b/>
          <w:sz w:val="28"/>
          <w:szCs w:val="28"/>
        </w:rPr>
        <w:t>заданий</w:t>
      </w:r>
    </w:p>
    <w:p w:rsidR="00173AC3" w:rsidRPr="00173AC3" w:rsidRDefault="00173AC3" w:rsidP="00173AC3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173AC3">
        <w:rPr>
          <w:rFonts w:ascii="Times New Roman" w:hAnsi="Times New Roman"/>
          <w:sz w:val="28"/>
          <w:szCs w:val="28"/>
        </w:rPr>
        <w:t xml:space="preserve">Юридическая теория использует самые различные методы, входящие в арсенал науки в целом. Специальные методы юридических исследований основаны на процессах и результатах усвоения окружающего мира конкретными науками или группами наук, которые объединяют по признаку принадлежности к определенной сфере знаний (общественных и естественных, технических и математических наук, в их числе). </w:t>
      </w:r>
    </w:p>
    <w:p w:rsid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Проанализируйте и приведите примеры использования в транспортно-правовой науке исторических и социологических, математических и кибернетических подходов, законов и методов формальной логики и социальной психологии, политологии и экономической науки.</w:t>
      </w:r>
    </w:p>
    <w:p w:rsid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Проанализируйте несколько статей законов из системы транспортного законодательства, применяя различные методы научного познания – формально-юридический (догматический), юридической герменевтики, сравнительно-юридический. Укажите на особенности и отличия полученных результатов (выводов).     </w:t>
      </w:r>
    </w:p>
    <w:p w:rsid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73AC3">
        <w:rPr>
          <w:rFonts w:ascii="Times New Roman" w:hAnsi="Times New Roman"/>
          <w:sz w:val="28"/>
          <w:szCs w:val="28"/>
        </w:rPr>
        <w:t xml:space="preserve">. Среди собственно правовых методов юридического исследования, выработанных на протяжении развития юриспруденции либо привнесенных современностью, выделяют сравнительно-юридический подход. Он включает в себя методы юридической компаративистики в совокупности сравнительного государствоведения и сравнительного правоведения, с </w:t>
      </w:r>
      <w:r w:rsidRPr="00173AC3">
        <w:rPr>
          <w:rFonts w:ascii="Times New Roman" w:hAnsi="Times New Roman"/>
          <w:sz w:val="28"/>
          <w:szCs w:val="28"/>
        </w:rPr>
        <w:lastRenderedPageBreak/>
        <w:t>помощью которых сопоставляются государственные институты и правовые системы различных стран для определения общих свойств и специфических черт проявления.</w:t>
      </w: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Рассмотрите возможности исследования сопоставимых государственно-правовых объектов, существовавших в прошлом (историческое или диахронное сравнение) или действующих в настоящее время в транспортно-правовой науке (синхронное сравнение), соизмеримых норм и положений (микросравнение), более сложных компонентов системы права (институциональное, отраслевое и межотраслевое сравнение), а также государственно-правовых систем в целом (макросравнение).</w:t>
      </w: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 xml:space="preserve">4. Идеологический плюрализм в современной юридической науке отрицает монополизацию какого-либо единственного методологического подхода, тем самым способствуя использованию самых различных методов, входящих в арсенал науки в целом. Основу их составляют </w:t>
      </w:r>
      <w:r>
        <w:rPr>
          <w:rFonts w:ascii="Times New Roman" w:hAnsi="Times New Roman"/>
          <w:sz w:val="28"/>
          <w:szCs w:val="28"/>
        </w:rPr>
        <w:t>философские и общенаучные</w:t>
      </w:r>
      <w:r w:rsidRPr="00173AC3">
        <w:rPr>
          <w:rFonts w:ascii="Times New Roman" w:hAnsi="Times New Roman"/>
          <w:sz w:val="28"/>
          <w:szCs w:val="28"/>
        </w:rPr>
        <w:t xml:space="preserve"> методы познания, с помощью которых представляется возможным исследование специально выделяемых частей государственно-правовых явлений с их последующим объединением в единое целое, а также изучение связей и направлений деятельности исследуемых систем государства и права.</w:t>
      </w:r>
    </w:p>
    <w:p w:rsidR="00173AC3" w:rsidRPr="00173AC3" w:rsidRDefault="00173AC3" w:rsidP="00173A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3AC3">
        <w:rPr>
          <w:rFonts w:ascii="Times New Roman" w:hAnsi="Times New Roman"/>
          <w:sz w:val="28"/>
          <w:szCs w:val="28"/>
        </w:rPr>
        <w:t>Среди общенаучных подходов выделяются анализ и синтез, индукция и дедукция. На чем основывается их взаимодействие в транспортно-правовой науке, в чем различия? Приведите примеры использования этих методов в юридических исследованиях в области транспортного права.</w:t>
      </w:r>
    </w:p>
    <w:p w:rsidR="002043EA" w:rsidRPr="005C75A0" w:rsidRDefault="002043EA" w:rsidP="00173AC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sectPr w:rsidR="002043EA" w:rsidRPr="005C75A0" w:rsidSect="00864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8E4" w:rsidRDefault="00C708E4" w:rsidP="001433A1">
      <w:pPr>
        <w:spacing w:after="0" w:line="240" w:lineRule="auto"/>
      </w:pPr>
      <w:r>
        <w:separator/>
      </w:r>
    </w:p>
  </w:endnote>
  <w:endnote w:type="continuationSeparator" w:id="0">
    <w:p w:rsidR="00C708E4" w:rsidRDefault="00C708E4" w:rsidP="00143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8E4" w:rsidRDefault="00C708E4" w:rsidP="001433A1">
      <w:pPr>
        <w:spacing w:after="0" w:line="240" w:lineRule="auto"/>
      </w:pPr>
      <w:r>
        <w:separator/>
      </w:r>
    </w:p>
  </w:footnote>
  <w:footnote w:type="continuationSeparator" w:id="0">
    <w:p w:rsidR="00C708E4" w:rsidRDefault="00C708E4" w:rsidP="001433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4BC"/>
    <w:multiLevelType w:val="hybridMultilevel"/>
    <w:tmpl w:val="EC4A72BC"/>
    <w:lvl w:ilvl="0" w:tplc="193671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6F52E7"/>
    <w:multiLevelType w:val="hybridMultilevel"/>
    <w:tmpl w:val="58F2CD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E35EFA"/>
    <w:multiLevelType w:val="hybridMultilevel"/>
    <w:tmpl w:val="CD5E4730"/>
    <w:lvl w:ilvl="0" w:tplc="2E8AC8FA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60419B3"/>
    <w:multiLevelType w:val="hybridMultilevel"/>
    <w:tmpl w:val="3BA45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55B30"/>
    <w:multiLevelType w:val="hybridMultilevel"/>
    <w:tmpl w:val="07C45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F7958"/>
    <w:multiLevelType w:val="hybridMultilevel"/>
    <w:tmpl w:val="FE98D024"/>
    <w:lvl w:ilvl="0" w:tplc="C3F059A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3"/>
  </w:num>
  <w:num w:numId="9">
    <w:abstractNumId w:val="7"/>
  </w:num>
  <w:num w:numId="10">
    <w:abstractNumId w:val="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311"/>
    <w:rsid w:val="000B1F83"/>
    <w:rsid w:val="000C3473"/>
    <w:rsid w:val="0010085C"/>
    <w:rsid w:val="00101F0D"/>
    <w:rsid w:val="001373B1"/>
    <w:rsid w:val="001433A1"/>
    <w:rsid w:val="00173AC3"/>
    <w:rsid w:val="00175D46"/>
    <w:rsid w:val="001D75D9"/>
    <w:rsid w:val="001F737F"/>
    <w:rsid w:val="00202C6E"/>
    <w:rsid w:val="00203FAD"/>
    <w:rsid w:val="002043EA"/>
    <w:rsid w:val="00235773"/>
    <w:rsid w:val="002569E4"/>
    <w:rsid w:val="00273FE8"/>
    <w:rsid w:val="002872A2"/>
    <w:rsid w:val="00296C52"/>
    <w:rsid w:val="002D5DAA"/>
    <w:rsid w:val="002E2D7F"/>
    <w:rsid w:val="002E47A6"/>
    <w:rsid w:val="003336C3"/>
    <w:rsid w:val="00350F80"/>
    <w:rsid w:val="00353FFF"/>
    <w:rsid w:val="00354926"/>
    <w:rsid w:val="00355D6B"/>
    <w:rsid w:val="00364CAC"/>
    <w:rsid w:val="003A50D0"/>
    <w:rsid w:val="003B63AC"/>
    <w:rsid w:val="003D0D30"/>
    <w:rsid w:val="003D5099"/>
    <w:rsid w:val="004765BF"/>
    <w:rsid w:val="0050231E"/>
    <w:rsid w:val="0054151A"/>
    <w:rsid w:val="005610FC"/>
    <w:rsid w:val="005611E1"/>
    <w:rsid w:val="00564A43"/>
    <w:rsid w:val="005949D5"/>
    <w:rsid w:val="005A2642"/>
    <w:rsid w:val="005B2EB2"/>
    <w:rsid w:val="005C75A0"/>
    <w:rsid w:val="005D1168"/>
    <w:rsid w:val="005D2A4F"/>
    <w:rsid w:val="005D3CD7"/>
    <w:rsid w:val="005D5228"/>
    <w:rsid w:val="00646D51"/>
    <w:rsid w:val="006E00B9"/>
    <w:rsid w:val="00715445"/>
    <w:rsid w:val="00742E58"/>
    <w:rsid w:val="007A42C9"/>
    <w:rsid w:val="007A5550"/>
    <w:rsid w:val="00803311"/>
    <w:rsid w:val="008111B3"/>
    <w:rsid w:val="00831910"/>
    <w:rsid w:val="00857C46"/>
    <w:rsid w:val="00864F62"/>
    <w:rsid w:val="008B406A"/>
    <w:rsid w:val="008D0E8B"/>
    <w:rsid w:val="008F3C6A"/>
    <w:rsid w:val="0090030B"/>
    <w:rsid w:val="009724D5"/>
    <w:rsid w:val="00A11AF2"/>
    <w:rsid w:val="00A30F40"/>
    <w:rsid w:val="00A74EDB"/>
    <w:rsid w:val="00AA3F74"/>
    <w:rsid w:val="00AB15D0"/>
    <w:rsid w:val="00AC75C2"/>
    <w:rsid w:val="00AC7C1D"/>
    <w:rsid w:val="00B22455"/>
    <w:rsid w:val="00B534A7"/>
    <w:rsid w:val="00B67709"/>
    <w:rsid w:val="00B7265B"/>
    <w:rsid w:val="00BC27FB"/>
    <w:rsid w:val="00C708E4"/>
    <w:rsid w:val="00CC3B42"/>
    <w:rsid w:val="00CE3885"/>
    <w:rsid w:val="00CE3F37"/>
    <w:rsid w:val="00D354DA"/>
    <w:rsid w:val="00D53109"/>
    <w:rsid w:val="00D767C3"/>
    <w:rsid w:val="00D90126"/>
    <w:rsid w:val="00E112BF"/>
    <w:rsid w:val="00E332A8"/>
    <w:rsid w:val="00E37B47"/>
    <w:rsid w:val="00EA6DFA"/>
    <w:rsid w:val="00ED1675"/>
    <w:rsid w:val="00ED58CD"/>
    <w:rsid w:val="00EE122E"/>
    <w:rsid w:val="00EF2479"/>
    <w:rsid w:val="00EF29F0"/>
    <w:rsid w:val="00F37FBA"/>
    <w:rsid w:val="00F8701C"/>
    <w:rsid w:val="00FB458C"/>
    <w:rsid w:val="00FC7B4B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93878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2D5DAA"/>
    <w:pPr>
      <w:ind w:left="720"/>
      <w:contextualSpacing/>
    </w:pPr>
  </w:style>
  <w:style w:type="table" w:styleId="a5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B15D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1433A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1433A1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1433A1"/>
    <w:rPr>
      <w:vertAlign w:val="superscript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basedOn w:val="a0"/>
    <w:link w:val="a3"/>
    <w:uiPriority w:val="34"/>
    <w:locked/>
    <w:rsid w:val="005C75A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228D9-44E6-45B5-B6C3-F2B33A4E4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41</cp:revision>
  <dcterms:created xsi:type="dcterms:W3CDTF">2022-03-18T13:10:00Z</dcterms:created>
  <dcterms:modified xsi:type="dcterms:W3CDTF">2025-12-09T06:23:00Z</dcterms:modified>
</cp:coreProperties>
</file>