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32" w:rsidRPr="00FE6732" w:rsidRDefault="00FE6732" w:rsidP="00FE67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732">
        <w:rPr>
          <w:rFonts w:ascii="Times New Roman" w:hAnsi="Times New Roman" w:cs="Times New Roman"/>
          <w:b/>
          <w:sz w:val="28"/>
          <w:szCs w:val="28"/>
        </w:rPr>
        <w:t>Вопросы к зачету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Способы регулирования скорости ЭПС постоянного тока в тяговом режиме.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Защита силовых цепей от боксования и юза.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Условия перехода в режим рекуперативного торможения. Требования к возбуждению тяговых машин. Обеспечение электрической устойчивости и равномерного распределения нагрузок.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Защита от атмосферных и коммутационных перенапряжений.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 xml:space="preserve">Дифференциальная защита силовых цепей на ЭПС постоянного тока. 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Коэффициент регулирования возбуждения тяговых двигателей. Определение коэффициента при шунтировании обмоток возбуждения.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Защита силовых цепей ЭПС постоянного тока от короткого замыкания в режиме тяги.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Общие принципы реостатного пуска. Ступенчатый реостатный пуск.</w:t>
      </w:r>
    </w:p>
    <w:p w:rsid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Пусковая диаграмма. Ограничение характеристик.</w:t>
      </w:r>
    </w:p>
    <w:p w:rsidR="00C73AEE" w:rsidRPr="00FE6732" w:rsidRDefault="00C73AEE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Тяговые характеристики при различных группировках тяговых двигателей.</w:t>
      </w:r>
    </w:p>
    <w:p w:rsid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Цепи управления электровозом ВЛ10 в режиме тяги.</w:t>
      </w:r>
    </w:p>
    <w:p w:rsidR="00C73AEE" w:rsidRDefault="00C73AEE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Расчет ступеней реостата для одной группировки тяговых двигателей.</w:t>
      </w:r>
    </w:p>
    <w:p w:rsidR="00C73AEE" w:rsidRDefault="00C73AEE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Характеристики тяговых двигателей при регулировании возбуждения.</w:t>
      </w:r>
    </w:p>
    <w:p w:rsidR="00C73AEE" w:rsidRPr="00FE6732" w:rsidRDefault="00C73AEE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Схема силовых цепей электровоза ВЛ10 в режиме тяги на первой позиции.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Резисторно-контактные устройства для изменения напряжения, прикладываемого к тяговым двигателям.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 xml:space="preserve">Основные задачи и принципы управления ЭПС в процессе трогания с места и движения по перегону. </w:t>
      </w:r>
    </w:p>
    <w:p w:rsidR="00FE6732" w:rsidRP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>Регулирование напряжения тяговых двигателей на ЭПС переменного тока.</w:t>
      </w:r>
    </w:p>
    <w:p w:rsidR="00FE6732" w:rsidRDefault="00FE6732" w:rsidP="00FE67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2">
        <w:rPr>
          <w:rFonts w:ascii="Times New Roman" w:hAnsi="Times New Roman" w:cs="Times New Roman"/>
          <w:sz w:val="28"/>
          <w:szCs w:val="28"/>
        </w:rPr>
        <w:t xml:space="preserve">Способы плавного регулирования выпрямленного напряжения на ЭПС переменного тока. 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>Сглаживание выпрямленного тока. Сглаживающие реакторы.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>Реле заземления, реле максимального напряжения, реле боксования. Назначение и принцип работы в системе с главными быстродействующими выключателями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 xml:space="preserve">Структура систем управления ЭПС переменного тока.                                                                                                                     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 xml:space="preserve">Преобразовательные установки ЭПС и их внешние характеристики.  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 xml:space="preserve">Дифференциальные реле ЭПС постоянного и переменного тока.  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 xml:space="preserve">Способы регулирования выпрямленного напряжения на ЭПС переменного тока.                                                                                            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>Реостатное торможение при независимом возбуждении (ВЛ80</w:t>
      </w:r>
      <w:r w:rsidRPr="00C73AEE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Pr="00C73AEE">
        <w:rPr>
          <w:rFonts w:ascii="Times New Roman" w:hAnsi="Times New Roman" w:cs="Times New Roman"/>
          <w:sz w:val="28"/>
          <w:szCs w:val="28"/>
        </w:rPr>
        <w:t>).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>Виды электрического торможения. Серии отечественного ЭПС, оборудованного электрическим торможением. Экономическая оценка эффективности электрического торможения. Тормозные характеристики.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>Способы переключения выводов обмоток трансформатора без разрыва цепи выпрямленного тока при регулировании на стороне низкого и высокого напряжения.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 xml:space="preserve">Токоприемники ЭПС и их статические характеристики.        </w:t>
      </w:r>
    </w:p>
    <w:p w:rsidR="00C73AEE" w:rsidRPr="00C73AEE" w:rsidRDefault="00C73AEE" w:rsidP="00C73AEE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 xml:space="preserve">Ограничение глубины регулирования возбуждения в режиме тяги. </w:t>
      </w:r>
    </w:p>
    <w:p w:rsidR="00FE6732" w:rsidRPr="00C73AEE" w:rsidRDefault="00C73AEE" w:rsidP="00D7052F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AEE">
        <w:rPr>
          <w:rFonts w:ascii="Times New Roman" w:hAnsi="Times New Roman" w:cs="Times New Roman"/>
          <w:sz w:val="28"/>
          <w:szCs w:val="28"/>
        </w:rPr>
        <w:t xml:space="preserve">Схемы выпрямления и основные соотношения токов и напряжений в них. </w:t>
      </w:r>
      <w:bookmarkStart w:id="0" w:name="_GoBack"/>
      <w:bookmarkEnd w:id="0"/>
    </w:p>
    <w:p w:rsidR="000B7BF1" w:rsidRPr="000B7BF1" w:rsidRDefault="000B7BF1" w:rsidP="000B7B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7BF1" w:rsidRPr="000B7BF1" w:rsidSect="001802E5">
      <w:footerReference w:type="default" r:id="rId7"/>
      <w:type w:val="continuous"/>
      <w:pgSz w:w="11900" w:h="16820" w:code="9"/>
      <w:pgMar w:top="567" w:right="701" w:bottom="567" w:left="1418" w:header="720" w:footer="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E5" w:rsidRDefault="001802E5" w:rsidP="001802E5">
      <w:pPr>
        <w:spacing w:after="0" w:line="240" w:lineRule="auto"/>
      </w:pPr>
      <w:r>
        <w:separator/>
      </w:r>
    </w:p>
  </w:endnote>
  <w:end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9443978"/>
      <w:docPartObj>
        <w:docPartGallery w:val="Page Numbers (Bottom of Page)"/>
        <w:docPartUnique/>
      </w:docPartObj>
    </w:sdtPr>
    <w:sdtContent>
      <w:p w:rsidR="001802E5" w:rsidRDefault="00180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AEE">
          <w:rPr>
            <w:noProof/>
          </w:rPr>
          <w:t>2</w:t>
        </w:r>
        <w:r>
          <w:fldChar w:fldCharType="end"/>
        </w:r>
      </w:p>
    </w:sdtContent>
  </w:sdt>
  <w:p w:rsidR="001802E5" w:rsidRDefault="00180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E5" w:rsidRDefault="001802E5" w:rsidP="001802E5">
      <w:pPr>
        <w:spacing w:after="0" w:line="240" w:lineRule="auto"/>
      </w:pPr>
      <w:r>
        <w:separator/>
      </w:r>
    </w:p>
  </w:footnote>
  <w:foot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4B3"/>
    <w:multiLevelType w:val="multilevel"/>
    <w:tmpl w:val="21B4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71B6C"/>
    <w:multiLevelType w:val="multilevel"/>
    <w:tmpl w:val="4A76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74560"/>
    <w:multiLevelType w:val="multilevel"/>
    <w:tmpl w:val="79006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C32E7"/>
    <w:multiLevelType w:val="hybridMultilevel"/>
    <w:tmpl w:val="2226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C2DCC"/>
    <w:multiLevelType w:val="multilevel"/>
    <w:tmpl w:val="4C5E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E3E7F"/>
    <w:multiLevelType w:val="multilevel"/>
    <w:tmpl w:val="BC38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730AB"/>
    <w:multiLevelType w:val="multilevel"/>
    <w:tmpl w:val="8374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02167F"/>
    <w:multiLevelType w:val="multilevel"/>
    <w:tmpl w:val="5AAE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E7F42"/>
    <w:multiLevelType w:val="multilevel"/>
    <w:tmpl w:val="9098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AF7175"/>
    <w:multiLevelType w:val="multilevel"/>
    <w:tmpl w:val="CFD4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73F85"/>
    <w:multiLevelType w:val="multilevel"/>
    <w:tmpl w:val="4474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63DAE"/>
    <w:multiLevelType w:val="multilevel"/>
    <w:tmpl w:val="1FC8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A06FB"/>
    <w:multiLevelType w:val="hybridMultilevel"/>
    <w:tmpl w:val="DE8E7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E55D7"/>
    <w:multiLevelType w:val="hybridMultilevel"/>
    <w:tmpl w:val="CF72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231F5"/>
    <w:multiLevelType w:val="hybridMultilevel"/>
    <w:tmpl w:val="A1246C3E"/>
    <w:lvl w:ilvl="0" w:tplc="3D648742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6C524DA"/>
    <w:multiLevelType w:val="multilevel"/>
    <w:tmpl w:val="070C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B55C6A"/>
    <w:multiLevelType w:val="multilevel"/>
    <w:tmpl w:val="1538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D5111"/>
    <w:multiLevelType w:val="multilevel"/>
    <w:tmpl w:val="5A443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5A5A46"/>
    <w:multiLevelType w:val="hybridMultilevel"/>
    <w:tmpl w:val="0E7E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B0A06"/>
    <w:multiLevelType w:val="multilevel"/>
    <w:tmpl w:val="6E18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A918C4"/>
    <w:multiLevelType w:val="multilevel"/>
    <w:tmpl w:val="A06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C763A"/>
    <w:multiLevelType w:val="multilevel"/>
    <w:tmpl w:val="A366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B6423"/>
    <w:multiLevelType w:val="multilevel"/>
    <w:tmpl w:val="A8D472B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0AE3B58"/>
    <w:multiLevelType w:val="multilevel"/>
    <w:tmpl w:val="BFBC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3C6035"/>
    <w:multiLevelType w:val="multilevel"/>
    <w:tmpl w:val="3B0A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D5F57"/>
    <w:multiLevelType w:val="multilevel"/>
    <w:tmpl w:val="A78A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050694"/>
    <w:multiLevelType w:val="multilevel"/>
    <w:tmpl w:val="169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B22FA2"/>
    <w:multiLevelType w:val="hybridMultilevel"/>
    <w:tmpl w:val="2DAC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6"/>
  </w:num>
  <w:num w:numId="4">
    <w:abstractNumId w:val="15"/>
  </w:num>
  <w:num w:numId="5">
    <w:abstractNumId w:val="20"/>
  </w:num>
  <w:num w:numId="6">
    <w:abstractNumId w:val="3"/>
  </w:num>
  <w:num w:numId="7">
    <w:abstractNumId w:val="27"/>
  </w:num>
  <w:num w:numId="8">
    <w:abstractNumId w:val="25"/>
  </w:num>
  <w:num w:numId="9">
    <w:abstractNumId w:val="16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2"/>
  </w:num>
  <w:num w:numId="19">
    <w:abstractNumId w:val="17"/>
  </w:num>
  <w:num w:numId="20">
    <w:abstractNumId w:val="10"/>
  </w:num>
  <w:num w:numId="21">
    <w:abstractNumId w:val="19"/>
  </w:num>
  <w:num w:numId="22">
    <w:abstractNumId w:val="23"/>
  </w:num>
  <w:num w:numId="23">
    <w:abstractNumId w:val="0"/>
  </w:num>
  <w:num w:numId="24">
    <w:abstractNumId w:val="24"/>
  </w:num>
  <w:num w:numId="25">
    <w:abstractNumId w:val="18"/>
  </w:num>
  <w:num w:numId="26">
    <w:abstractNumId w:val="21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7C"/>
    <w:rsid w:val="000B3090"/>
    <w:rsid w:val="000B7BF1"/>
    <w:rsid w:val="000E6993"/>
    <w:rsid w:val="001802E5"/>
    <w:rsid w:val="001E4449"/>
    <w:rsid w:val="00471696"/>
    <w:rsid w:val="00584717"/>
    <w:rsid w:val="0061401E"/>
    <w:rsid w:val="006C1798"/>
    <w:rsid w:val="0073091D"/>
    <w:rsid w:val="007A0173"/>
    <w:rsid w:val="00852EBF"/>
    <w:rsid w:val="00AA6196"/>
    <w:rsid w:val="00B04441"/>
    <w:rsid w:val="00B405FE"/>
    <w:rsid w:val="00BD20B7"/>
    <w:rsid w:val="00C73AEE"/>
    <w:rsid w:val="00D10F09"/>
    <w:rsid w:val="00E85F7C"/>
    <w:rsid w:val="00E87A44"/>
    <w:rsid w:val="00F51E90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061FE-E60C-4EFE-AE2A-3488D354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2025-12-08T14:29:00Z</dcterms:created>
  <dcterms:modified xsi:type="dcterms:W3CDTF">2025-12-08T14:31:00Z</dcterms:modified>
</cp:coreProperties>
</file>