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6C153E" w:rsidRDefault="007B2DB9" w:rsidP="006C153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промежуточной аттестации по производственной</w:t>
      </w:r>
      <w:r w:rsidR="0018564C" w:rsidRPr="00185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64C">
        <w:rPr>
          <w:rFonts w:ascii="Times New Roman" w:hAnsi="Times New Roman" w:cs="Times New Roman"/>
          <w:b/>
          <w:sz w:val="28"/>
          <w:szCs w:val="28"/>
        </w:rPr>
        <w:t>практике.</w:t>
      </w:r>
    </w:p>
    <w:p w:rsidR="0018564C" w:rsidRPr="00E665C8" w:rsidRDefault="0018564C" w:rsidP="006C153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574" w:rsidRDefault="002B61E0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915A47" w:rsidRPr="00915A47">
        <w:rPr>
          <w:rFonts w:eastAsiaTheme="minorHAnsi"/>
          <w:b/>
          <w:sz w:val="28"/>
          <w:szCs w:val="28"/>
          <w:lang w:eastAsia="en-US"/>
        </w:rPr>
        <w:t>Технологическая практика</w:t>
      </w:r>
      <w:r w:rsidRPr="00E665C8">
        <w:rPr>
          <w:rFonts w:eastAsiaTheme="minorHAnsi"/>
          <w:b/>
          <w:sz w:val="28"/>
          <w:szCs w:val="28"/>
          <w:lang w:eastAsia="en-US"/>
        </w:rPr>
        <w:t>»</w:t>
      </w:r>
    </w:p>
    <w:p w:rsidR="00E86989" w:rsidRDefault="00E86989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86989" w:rsidRDefault="00E86989" w:rsidP="00E8698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ЗАЧЕТА ПО ПРАКТИКЕ</w:t>
      </w:r>
    </w:p>
    <w:p w:rsidR="00E86989" w:rsidRPr="00BD7B46" w:rsidRDefault="00E86989" w:rsidP="00E8698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BCD" w:rsidRPr="00572BCD" w:rsidRDefault="00572BCD" w:rsidP="00572BCD">
      <w:pPr>
        <w:spacing w:after="160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72BC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Понятие о путевой блокировке, как системы интервального регулирования движения поездов на перегоне.</w:t>
      </w:r>
    </w:p>
    <w:p w:rsidR="00572BCD" w:rsidRPr="00572BCD" w:rsidRDefault="00572BCD" w:rsidP="00572BCD">
      <w:pPr>
        <w:spacing w:after="160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BC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Классификация систем путевой блокировки, их основные эксплуатационно-технические характеристики.</w:t>
      </w:r>
    </w:p>
    <w:p w:rsidR="00572BCD" w:rsidRPr="00572BCD" w:rsidRDefault="00572BCD" w:rsidP="00572BCD">
      <w:pPr>
        <w:spacing w:after="160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BC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Назначение и задачи устройств диспетчерского контроля.</w:t>
      </w:r>
    </w:p>
    <w:p w:rsidR="00572BCD" w:rsidRPr="00572BCD" w:rsidRDefault="00572BCD" w:rsidP="00572BCD">
      <w:pPr>
        <w:spacing w:after="160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BCD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Назначение и классификация ограждающих устройств на переездах.</w:t>
      </w:r>
    </w:p>
    <w:p w:rsidR="00572BCD" w:rsidRPr="00572BCD" w:rsidRDefault="00572BCD" w:rsidP="00572BCD">
      <w:pPr>
        <w:spacing w:after="160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BCD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Оптические каналы - как средство передачи команд управления движением машинисту поезда.</w:t>
      </w:r>
    </w:p>
    <w:p w:rsidR="00572BCD" w:rsidRPr="00572BCD" w:rsidRDefault="00572BCD" w:rsidP="00572BCD">
      <w:pPr>
        <w:spacing w:after="160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BCD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Понятие о скоростном принципе светофорной сигнализации.</w:t>
      </w:r>
    </w:p>
    <w:p w:rsidR="00572BCD" w:rsidRPr="00572BCD" w:rsidRDefault="00572BCD" w:rsidP="00572BCD">
      <w:pPr>
        <w:spacing w:after="160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BCD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Постоянные сигналы и их классификация.</w:t>
      </w:r>
    </w:p>
    <w:p w:rsidR="00572BCD" w:rsidRPr="00572BCD" w:rsidRDefault="00572BCD" w:rsidP="00572BCD">
      <w:pPr>
        <w:spacing w:after="160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BCD">
        <w:rPr>
          <w:rFonts w:ascii="Times New Roman" w:eastAsia="Times New Roman" w:hAnsi="Times New Roman" w:cs="Times New Roman"/>
          <w:sz w:val="28"/>
          <w:szCs w:val="28"/>
          <w:lang w:eastAsia="ru-RU"/>
        </w:rPr>
        <w:t>8. Условия восприятия сигналов проходных светофоров.</w:t>
      </w:r>
    </w:p>
    <w:p w:rsidR="00572BCD" w:rsidRPr="00572BCD" w:rsidRDefault="00572BCD" w:rsidP="00572BCD">
      <w:pPr>
        <w:spacing w:after="160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BCD">
        <w:rPr>
          <w:rFonts w:ascii="Times New Roman" w:eastAsia="Times New Roman" w:hAnsi="Times New Roman" w:cs="Times New Roman"/>
          <w:sz w:val="28"/>
          <w:szCs w:val="28"/>
          <w:lang w:eastAsia="ru-RU"/>
        </w:rPr>
        <w:t>9. Оптические системы линзовых светофоров.</w:t>
      </w:r>
    </w:p>
    <w:p w:rsidR="00572BCD" w:rsidRPr="00572BCD" w:rsidRDefault="00572BCD" w:rsidP="00572BCD">
      <w:pPr>
        <w:spacing w:after="160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BCD">
        <w:rPr>
          <w:rFonts w:ascii="Times New Roman" w:eastAsia="Times New Roman" w:hAnsi="Times New Roman" w:cs="Times New Roman"/>
          <w:sz w:val="28"/>
          <w:szCs w:val="28"/>
          <w:lang w:eastAsia="ru-RU"/>
        </w:rPr>
        <w:t>10.Область применения и характеристики светофорных электрических ламп.</w:t>
      </w:r>
    </w:p>
    <w:p w:rsidR="00572BCD" w:rsidRPr="00572BCD" w:rsidRDefault="00572BCD" w:rsidP="00572BCD">
      <w:pPr>
        <w:spacing w:after="160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BCD">
        <w:rPr>
          <w:rFonts w:ascii="Times New Roman" w:eastAsia="Times New Roman" w:hAnsi="Times New Roman" w:cs="Times New Roman"/>
          <w:sz w:val="28"/>
          <w:szCs w:val="28"/>
          <w:lang w:eastAsia="ru-RU"/>
        </w:rPr>
        <w:t>11. Назначение, классификация и область применения электрических рельсовых цепей.</w:t>
      </w:r>
    </w:p>
    <w:p w:rsidR="00572BCD" w:rsidRPr="00572BCD" w:rsidRDefault="00572BCD" w:rsidP="00572BCD">
      <w:pPr>
        <w:spacing w:after="160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BCD">
        <w:rPr>
          <w:rFonts w:ascii="Times New Roman" w:eastAsia="Times New Roman" w:hAnsi="Times New Roman" w:cs="Times New Roman"/>
          <w:sz w:val="28"/>
          <w:szCs w:val="28"/>
          <w:lang w:eastAsia="ru-RU"/>
        </w:rPr>
        <w:t>12. Особенности построения рельсовых цепей на перегонах и станциях.</w:t>
      </w:r>
    </w:p>
    <w:p w:rsidR="00572BCD" w:rsidRPr="00572BCD" w:rsidRDefault="00572BCD" w:rsidP="00572BCD">
      <w:pPr>
        <w:spacing w:after="160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BCD">
        <w:rPr>
          <w:rFonts w:ascii="Times New Roman" w:eastAsia="Times New Roman" w:hAnsi="Times New Roman" w:cs="Times New Roman"/>
          <w:sz w:val="28"/>
          <w:szCs w:val="28"/>
          <w:lang w:eastAsia="ru-RU"/>
        </w:rPr>
        <w:t>13. Характеристики элементов и приборов перегонных рельсовых цепей.</w:t>
      </w:r>
    </w:p>
    <w:p w:rsidR="00572BCD" w:rsidRPr="00572BCD" w:rsidRDefault="00572BCD" w:rsidP="00572BCD">
      <w:pPr>
        <w:spacing w:after="160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BCD">
        <w:rPr>
          <w:rFonts w:ascii="Times New Roman" w:eastAsia="Times New Roman" w:hAnsi="Times New Roman" w:cs="Times New Roman"/>
          <w:sz w:val="28"/>
          <w:szCs w:val="28"/>
          <w:lang w:eastAsia="ru-RU"/>
        </w:rPr>
        <w:t>14. Характеристики элементов и приборов станционных рельсовых цепей.</w:t>
      </w:r>
    </w:p>
    <w:p w:rsidR="00572BCD" w:rsidRPr="00572BCD" w:rsidRDefault="00572BCD" w:rsidP="00572BCD">
      <w:pPr>
        <w:spacing w:after="160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BCD">
        <w:rPr>
          <w:rFonts w:ascii="Times New Roman" w:eastAsia="Times New Roman" w:hAnsi="Times New Roman" w:cs="Times New Roman"/>
          <w:sz w:val="28"/>
          <w:szCs w:val="28"/>
          <w:lang w:eastAsia="ru-RU"/>
        </w:rPr>
        <w:t>15. Тональные рельсовые цепи, устройство и область их применения.</w:t>
      </w:r>
    </w:p>
    <w:p w:rsidR="00572BCD" w:rsidRPr="00572BCD" w:rsidRDefault="00572BCD" w:rsidP="00572BCD">
      <w:pPr>
        <w:spacing w:after="160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BCD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Помехи в рельсовых цепях и способы защиты от них.</w:t>
      </w:r>
    </w:p>
    <w:p w:rsidR="00572BCD" w:rsidRPr="00572BCD" w:rsidRDefault="00572BCD" w:rsidP="00572BCD">
      <w:pPr>
        <w:spacing w:after="160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BCD">
        <w:rPr>
          <w:rFonts w:ascii="Times New Roman" w:eastAsia="Times New Roman" w:hAnsi="Times New Roman" w:cs="Times New Roman"/>
          <w:sz w:val="28"/>
          <w:szCs w:val="28"/>
          <w:lang w:eastAsia="ru-RU"/>
        </w:rPr>
        <w:t>17. Основные понятия и постановка задач анализа рельсовых цепей.</w:t>
      </w:r>
    </w:p>
    <w:p w:rsidR="00572BCD" w:rsidRPr="00572BCD" w:rsidRDefault="00572BCD" w:rsidP="00572BCD">
      <w:pPr>
        <w:spacing w:after="160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B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18. Основные понятия и постановка задач синтеза рельсовых цепей.</w:t>
      </w:r>
    </w:p>
    <w:p w:rsidR="00572BCD" w:rsidRPr="00572BCD" w:rsidRDefault="00572BCD" w:rsidP="00572BCD">
      <w:pPr>
        <w:spacing w:after="160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BCD">
        <w:rPr>
          <w:rFonts w:ascii="Times New Roman" w:eastAsia="Times New Roman" w:hAnsi="Times New Roman" w:cs="Times New Roman"/>
          <w:sz w:val="28"/>
          <w:szCs w:val="28"/>
          <w:lang w:eastAsia="ru-RU"/>
        </w:rPr>
        <w:t>19. Классификация и функции точечных путевых датчиков.</w:t>
      </w:r>
    </w:p>
    <w:p w:rsidR="00572BCD" w:rsidRPr="00572BCD" w:rsidRDefault="00572BCD" w:rsidP="00572BCD">
      <w:pPr>
        <w:spacing w:after="160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BCD">
        <w:rPr>
          <w:rFonts w:ascii="Times New Roman" w:eastAsia="Times New Roman" w:hAnsi="Times New Roman" w:cs="Times New Roman"/>
          <w:sz w:val="28"/>
          <w:szCs w:val="28"/>
          <w:lang w:eastAsia="ru-RU"/>
        </w:rPr>
        <w:t>20. Области применения и принцип действия точечных путевых датчиков.</w:t>
      </w:r>
    </w:p>
    <w:p w:rsidR="00572BCD" w:rsidRPr="00572BCD" w:rsidRDefault="00572BCD" w:rsidP="00572BCD">
      <w:pPr>
        <w:spacing w:after="160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BCD">
        <w:rPr>
          <w:rFonts w:ascii="Times New Roman" w:eastAsia="Times New Roman" w:hAnsi="Times New Roman" w:cs="Times New Roman"/>
          <w:sz w:val="28"/>
          <w:szCs w:val="28"/>
          <w:lang w:eastAsia="ru-RU"/>
        </w:rPr>
        <w:t>21. Понятие о координатных системах интервального регулирования движения поездов.</w:t>
      </w:r>
    </w:p>
    <w:p w:rsidR="00572BCD" w:rsidRPr="00572BCD" w:rsidRDefault="00572BCD" w:rsidP="00572BCD">
      <w:pPr>
        <w:spacing w:after="160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BCD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Понятие об идеальном интервале попутного следования поездов.</w:t>
      </w:r>
    </w:p>
    <w:p w:rsidR="00572BCD" w:rsidRPr="00572BCD" w:rsidRDefault="00572BCD" w:rsidP="00572BCD">
      <w:pPr>
        <w:spacing w:after="160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BCD">
        <w:rPr>
          <w:rFonts w:ascii="Times New Roman" w:eastAsia="Times New Roman" w:hAnsi="Times New Roman" w:cs="Times New Roman"/>
          <w:sz w:val="28"/>
          <w:szCs w:val="28"/>
          <w:lang w:eastAsia="ru-RU"/>
        </w:rPr>
        <w:t>23. Понятие о критической точке сближения попутно следующих поездов.</w:t>
      </w:r>
    </w:p>
    <w:p w:rsidR="00572BCD" w:rsidRPr="00572BCD" w:rsidRDefault="00572BCD" w:rsidP="00572BCD">
      <w:pPr>
        <w:spacing w:after="160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BCD">
        <w:rPr>
          <w:rFonts w:ascii="Times New Roman" w:eastAsia="Times New Roman" w:hAnsi="Times New Roman" w:cs="Times New Roman"/>
          <w:sz w:val="28"/>
          <w:szCs w:val="28"/>
          <w:lang w:eastAsia="ru-RU"/>
        </w:rPr>
        <w:t>24. Принцип интервального регулирования попутно следующих поездов на прицельную точку торможения.</w:t>
      </w:r>
    </w:p>
    <w:p w:rsidR="00572BCD" w:rsidRPr="00572BCD" w:rsidRDefault="00572BCD" w:rsidP="00572BCD">
      <w:pPr>
        <w:spacing w:after="160" w:line="25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BCD">
        <w:rPr>
          <w:rFonts w:ascii="Times New Roman" w:eastAsia="Times New Roman" w:hAnsi="Times New Roman" w:cs="Times New Roman"/>
          <w:sz w:val="28"/>
          <w:szCs w:val="28"/>
          <w:lang w:eastAsia="ru-RU"/>
        </w:rPr>
        <w:t>25. Путевые шлейфы - как элемент индуктивного канала связи для координатных систем интервального регулирования движения поездов.</w:t>
      </w:r>
    </w:p>
    <w:bookmarkEnd w:id="0"/>
    <w:p w:rsidR="006C153E" w:rsidRPr="006C153E" w:rsidRDefault="006C153E" w:rsidP="00BD7B46">
      <w:pPr>
        <w:pStyle w:val="a4"/>
        <w:ind w:left="0"/>
        <w:rPr>
          <w:rFonts w:ascii="Times New Roman" w:hAnsi="Times New Roman" w:cs="Times New Roman"/>
          <w:sz w:val="28"/>
        </w:rPr>
      </w:pPr>
    </w:p>
    <w:sectPr w:rsidR="006C153E" w:rsidRPr="006C153E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4429"/>
    <w:multiLevelType w:val="hybridMultilevel"/>
    <w:tmpl w:val="38D25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EC0DC9"/>
    <w:multiLevelType w:val="multilevel"/>
    <w:tmpl w:val="1A64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622B95"/>
    <w:multiLevelType w:val="hybridMultilevel"/>
    <w:tmpl w:val="3DC4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30327"/>
    <w:multiLevelType w:val="hybridMultilevel"/>
    <w:tmpl w:val="DC60E6EA"/>
    <w:lvl w:ilvl="0" w:tplc="5A422B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B51FB4"/>
    <w:multiLevelType w:val="hybridMultilevel"/>
    <w:tmpl w:val="F7E498FA"/>
    <w:lvl w:ilvl="0" w:tplc="80E0B1A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1A2289"/>
    <w:multiLevelType w:val="hybridMultilevel"/>
    <w:tmpl w:val="47F858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427A7A49"/>
    <w:multiLevelType w:val="multilevel"/>
    <w:tmpl w:val="1888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035FC7"/>
    <w:multiLevelType w:val="hybridMultilevel"/>
    <w:tmpl w:val="3290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F51B2"/>
    <w:multiLevelType w:val="hybridMultilevel"/>
    <w:tmpl w:val="3290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36C2F"/>
    <w:multiLevelType w:val="multilevel"/>
    <w:tmpl w:val="1CD0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FF142F"/>
    <w:multiLevelType w:val="hybridMultilevel"/>
    <w:tmpl w:val="237499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F232311"/>
    <w:multiLevelType w:val="hybridMultilevel"/>
    <w:tmpl w:val="F11C6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21974"/>
    <w:multiLevelType w:val="hybridMultilevel"/>
    <w:tmpl w:val="47747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F80EA6"/>
    <w:multiLevelType w:val="hybridMultilevel"/>
    <w:tmpl w:val="58AE8A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10587"/>
    <w:rsid w:val="001245C7"/>
    <w:rsid w:val="0018564C"/>
    <w:rsid w:val="001A1F4F"/>
    <w:rsid w:val="002059D2"/>
    <w:rsid w:val="00225E52"/>
    <w:rsid w:val="002275F1"/>
    <w:rsid w:val="00264101"/>
    <w:rsid w:val="002B61E0"/>
    <w:rsid w:val="002C7F44"/>
    <w:rsid w:val="002D6C13"/>
    <w:rsid w:val="002E10CA"/>
    <w:rsid w:val="002F4350"/>
    <w:rsid w:val="002F7CF8"/>
    <w:rsid w:val="003363E7"/>
    <w:rsid w:val="00345C73"/>
    <w:rsid w:val="003568EA"/>
    <w:rsid w:val="00386196"/>
    <w:rsid w:val="00402C36"/>
    <w:rsid w:val="0044490D"/>
    <w:rsid w:val="00450258"/>
    <w:rsid w:val="00464EB5"/>
    <w:rsid w:val="004A7297"/>
    <w:rsid w:val="004B723B"/>
    <w:rsid w:val="004C7574"/>
    <w:rsid w:val="004D1A0E"/>
    <w:rsid w:val="005020FD"/>
    <w:rsid w:val="00517881"/>
    <w:rsid w:val="00520525"/>
    <w:rsid w:val="00541A16"/>
    <w:rsid w:val="00571D58"/>
    <w:rsid w:val="00572BCD"/>
    <w:rsid w:val="005F68F4"/>
    <w:rsid w:val="00631CCD"/>
    <w:rsid w:val="006331EA"/>
    <w:rsid w:val="00654984"/>
    <w:rsid w:val="006769B2"/>
    <w:rsid w:val="00696563"/>
    <w:rsid w:val="006A055D"/>
    <w:rsid w:val="006B7596"/>
    <w:rsid w:val="006C153E"/>
    <w:rsid w:val="006C4967"/>
    <w:rsid w:val="0074743D"/>
    <w:rsid w:val="00764861"/>
    <w:rsid w:val="00772256"/>
    <w:rsid w:val="00776513"/>
    <w:rsid w:val="007B2DB9"/>
    <w:rsid w:val="007B350D"/>
    <w:rsid w:val="007B658A"/>
    <w:rsid w:val="007C280C"/>
    <w:rsid w:val="007C566A"/>
    <w:rsid w:val="007D3DC1"/>
    <w:rsid w:val="008608F1"/>
    <w:rsid w:val="008964FB"/>
    <w:rsid w:val="00915A47"/>
    <w:rsid w:val="0092217D"/>
    <w:rsid w:val="0092240A"/>
    <w:rsid w:val="00975FA5"/>
    <w:rsid w:val="009952CE"/>
    <w:rsid w:val="00AB3C25"/>
    <w:rsid w:val="00AC5CAC"/>
    <w:rsid w:val="00AC6F79"/>
    <w:rsid w:val="00BC5097"/>
    <w:rsid w:val="00BD7B46"/>
    <w:rsid w:val="00C142DA"/>
    <w:rsid w:val="00C1672F"/>
    <w:rsid w:val="00C92318"/>
    <w:rsid w:val="00CA403A"/>
    <w:rsid w:val="00CB7A73"/>
    <w:rsid w:val="00CD2062"/>
    <w:rsid w:val="00D062AA"/>
    <w:rsid w:val="00D074C0"/>
    <w:rsid w:val="00D338D5"/>
    <w:rsid w:val="00D47AF6"/>
    <w:rsid w:val="00D538FF"/>
    <w:rsid w:val="00DF4D0F"/>
    <w:rsid w:val="00E33B42"/>
    <w:rsid w:val="00E60CF0"/>
    <w:rsid w:val="00E665C8"/>
    <w:rsid w:val="00E86989"/>
    <w:rsid w:val="00E95A9E"/>
    <w:rsid w:val="00EC1B58"/>
    <w:rsid w:val="00EC382E"/>
    <w:rsid w:val="00ED6657"/>
    <w:rsid w:val="00EE2EA8"/>
    <w:rsid w:val="00EF281D"/>
    <w:rsid w:val="00EF5CE8"/>
    <w:rsid w:val="00F10A89"/>
    <w:rsid w:val="00F31056"/>
    <w:rsid w:val="00F446C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1023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  <w:style w:type="table" w:styleId="a7">
    <w:name w:val="Table Grid"/>
    <w:basedOn w:val="a1"/>
    <w:uiPriority w:val="59"/>
    <w:rsid w:val="0099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72</cp:revision>
  <dcterms:created xsi:type="dcterms:W3CDTF">2025-12-05T11:13:00Z</dcterms:created>
  <dcterms:modified xsi:type="dcterms:W3CDTF">2025-12-17T07:52:00Z</dcterms:modified>
</cp:coreProperties>
</file>