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1242AB" w:rsidRPr="005953CE" w:rsidRDefault="001242AB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42AB" w:rsidRPr="005953CE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42AB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обучающемуся предлагается ответить на 2 вопроса из </w:t>
      </w:r>
      <w:r>
        <w:rPr>
          <w:rFonts w:ascii="Times New Roman" w:hAnsi="Times New Roman"/>
          <w:b/>
          <w:sz w:val="28"/>
          <w:szCs w:val="28"/>
        </w:rPr>
        <w:t>нижеприведенного списка</w:t>
      </w:r>
      <w:r w:rsidRPr="001242AB">
        <w:rPr>
          <w:rFonts w:ascii="Times New Roman" w:hAnsi="Times New Roman"/>
          <w:b/>
          <w:sz w:val="28"/>
          <w:szCs w:val="28"/>
        </w:rPr>
        <w:t>.</w:t>
      </w:r>
    </w:p>
    <w:p w:rsidR="001242AB" w:rsidRPr="00D9429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1242AB" w:rsidRPr="00742E58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B664A" w:rsidRPr="005953CE" w:rsidRDefault="005953CE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F0046" w:rsidRPr="005953CE">
        <w:rPr>
          <w:rFonts w:ascii="Times New Roman" w:hAnsi="Times New Roman"/>
          <w:b/>
          <w:sz w:val="28"/>
          <w:szCs w:val="28"/>
        </w:rPr>
        <w:t xml:space="preserve"> ПК-</w:t>
      </w:r>
      <w:r w:rsidRPr="005953CE">
        <w:rPr>
          <w:rFonts w:ascii="Times New Roman" w:hAnsi="Times New Roman"/>
          <w:b/>
          <w:sz w:val="28"/>
          <w:szCs w:val="28"/>
        </w:rPr>
        <w:t>4</w:t>
      </w: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7 </w:t>
      </w:r>
    </w:p>
    <w:p w:rsidR="005953CE" w:rsidRPr="005953CE" w:rsidRDefault="005953CE" w:rsidP="001242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</w:t>
      </w: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3CE" w:rsidRP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lastRenderedPageBreak/>
        <w:t>Формы таможенного контроля, используемые при проведении таможенной проверки: осмотр помещений и территорий, получение 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D9429B" w:rsidRPr="001242AB" w:rsidRDefault="00E753F7" w:rsidP="001242A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  <w:bookmarkStart w:id="0" w:name="_GoBack"/>
      <w:bookmarkEnd w:id="0"/>
    </w:p>
    <w:sectPr w:rsidR="00D9429B" w:rsidRPr="001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242AB"/>
    <w:rsid w:val="001D75D9"/>
    <w:rsid w:val="00202C6E"/>
    <w:rsid w:val="00203FAD"/>
    <w:rsid w:val="002569E4"/>
    <w:rsid w:val="002D5DAA"/>
    <w:rsid w:val="00302B88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C46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5690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2023-04-18T10:37:00Z</dcterms:created>
  <dcterms:modified xsi:type="dcterms:W3CDTF">2026-02-11T12:40:00Z</dcterms:modified>
</cp:coreProperties>
</file>