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>Управление логистическими рисками в сфере таможенного дела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D7625" w:rsidRDefault="006C5B9C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C50A3A">
        <w:rPr>
          <w:rFonts w:ascii="Times New Roman" w:hAnsi="Times New Roman"/>
          <w:b/>
          <w:sz w:val="28"/>
          <w:szCs w:val="28"/>
        </w:rPr>
        <w:t xml:space="preserve"> ПК-1, ПК-9</w:t>
      </w: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0C2F71">
        <w:rPr>
          <w:rFonts w:ascii="Times New Roman" w:hAnsi="Times New Roman"/>
          <w:b/>
          <w:sz w:val="28"/>
          <w:szCs w:val="28"/>
        </w:rPr>
        <w:t>11</w:t>
      </w:r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 xml:space="preserve">13.Какие меры могут быть приняты для снижения рисков при </w:t>
      </w: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влияют на выбор алгоритма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алгоритмы могут быть использованы для оптимизации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ПК-1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B45845" w:rsidRPr="00CE489B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умений и навыков по компетенции ПК-9</w:t>
      </w: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При перевозке крупногабаритных товаров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ограниченным сроком годности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через несколько стран компания столкнулась с различными таможенными требованиями и процедурами. Как унифицировать </w:t>
      </w:r>
      <w:r w:rsidRPr="00CE489B">
        <w:rPr>
          <w:rFonts w:ascii="Times New Roman" w:hAnsi="Times New Roman"/>
          <w:sz w:val="28"/>
          <w:szCs w:val="28"/>
        </w:rPr>
        <w:lastRenderedPageBreak/>
        <w:t>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7D" w:rsidRDefault="00DF207D">
      <w:pPr>
        <w:spacing w:line="240" w:lineRule="auto"/>
      </w:pPr>
      <w:r>
        <w:separator/>
      </w:r>
    </w:p>
  </w:endnote>
  <w:endnote w:type="continuationSeparator" w:id="0">
    <w:p w:rsidR="00DF207D" w:rsidRDefault="00DF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7D" w:rsidRDefault="00DF207D">
      <w:pPr>
        <w:spacing w:after="0"/>
      </w:pPr>
      <w:r>
        <w:separator/>
      </w:r>
    </w:p>
  </w:footnote>
  <w:footnote w:type="continuationSeparator" w:id="0">
    <w:p w:rsidR="00DF207D" w:rsidRDefault="00DF20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2F71"/>
    <w:rsid w:val="000C30FD"/>
    <w:rsid w:val="000C78AE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D696B"/>
    <w:rsid w:val="003E37E2"/>
    <w:rsid w:val="0041090B"/>
    <w:rsid w:val="00487FF2"/>
    <w:rsid w:val="004E5D21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18D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DF207D"/>
    <w:rsid w:val="00E13B2E"/>
    <w:rsid w:val="00E21E52"/>
    <w:rsid w:val="00EA6FF2"/>
    <w:rsid w:val="00ED1355"/>
    <w:rsid w:val="00EF39B1"/>
    <w:rsid w:val="00F33AC7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75C6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2025-06-05T12:06:00Z</dcterms:created>
  <dcterms:modified xsi:type="dcterms:W3CDTF">2026-03-16T10:27:00Z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