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923FA1" w14:textId="17B186BE" w:rsidR="00B47402" w:rsidRPr="00B47402" w:rsidRDefault="00B47402" w:rsidP="00B47402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5D9FCC8B" w14:textId="77777777" w:rsidR="00B47402" w:rsidRPr="00B47402" w:rsidRDefault="00B47402" w:rsidP="00B47402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3770ACD4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D51FC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6062F7A" w14:textId="477AA2F0" w:rsidR="00B47402" w:rsidRP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7402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47402" w:rsidRPr="00B47402" w14:paraId="73C43E4B" w14:textId="77777777" w:rsidTr="006B14F4">
        <w:tc>
          <w:tcPr>
            <w:tcW w:w="1668" w:type="dxa"/>
          </w:tcPr>
          <w:p w14:paraId="36581E62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D925EE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34ED04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9A0FD6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E5E53D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47402" w:rsidRPr="00B47402" w14:paraId="0DDE015E" w14:textId="77777777" w:rsidTr="006B14F4">
        <w:tc>
          <w:tcPr>
            <w:tcW w:w="1668" w:type="dxa"/>
          </w:tcPr>
          <w:p w14:paraId="4A96AA7F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1117AFA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4BAEB5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1E2651C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54D9F1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47402" w:rsidRPr="00B47402" w14:paraId="45B61755" w14:textId="77777777" w:rsidTr="006B14F4">
        <w:tc>
          <w:tcPr>
            <w:tcW w:w="1668" w:type="dxa"/>
          </w:tcPr>
          <w:p w14:paraId="18E720DB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75E443C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510826E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0C9DD1D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1B346FEA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47402" w:rsidRPr="00B47402" w14:paraId="7E3EE33F" w14:textId="77777777" w:rsidTr="006B14F4">
        <w:tc>
          <w:tcPr>
            <w:tcW w:w="1668" w:type="dxa"/>
          </w:tcPr>
          <w:p w14:paraId="75AA01F9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61AB574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9AFF0B2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DB1901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FF0A6E0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523A8CCF" w14:textId="77777777" w:rsidR="00026575" w:rsidRPr="004D4B98" w:rsidRDefault="00026575" w:rsidP="00026575">
      <w:pPr>
        <w:spacing w:after="0"/>
        <w:ind w:firstLine="709"/>
        <w:rPr>
          <w:rFonts w:ascii="Times New Roman" w:hAnsi="Times New Roman"/>
          <w:b/>
          <w:iCs/>
          <w:sz w:val="32"/>
          <w:szCs w:val="32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</w:t>
      </w:r>
      <w:r w:rsidRPr="007E4EEF">
        <w:rPr>
          <w:rFonts w:ascii="Times New Roman" w:hAnsi="Times New Roman"/>
          <w:iCs/>
          <w:sz w:val="28"/>
          <w:szCs w:val="28"/>
        </w:rPr>
        <w:lastRenderedPageBreak/>
        <w:t>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 xml:space="preserve">., задержанного за совершение тяжкого преступления, связанного с подделкой ценных бумаг и денежных знаков. В запросе также содержалась информация </w:t>
      </w:r>
      <w:r w:rsidRPr="00E404DC">
        <w:rPr>
          <w:rFonts w:ascii="Times New Roman" w:hAnsi="Times New Roman"/>
          <w:iCs/>
          <w:sz w:val="28"/>
          <w:szCs w:val="28"/>
        </w:rPr>
        <w:lastRenderedPageBreak/>
        <w:t>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lastRenderedPageBreak/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розыск лиц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C73FB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A90F7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DD51FC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</cp:revision>
  <dcterms:created xsi:type="dcterms:W3CDTF">2026-03-18T11:04:00Z</dcterms:created>
  <dcterms:modified xsi:type="dcterms:W3CDTF">2026-03-20T08:32:00Z</dcterms:modified>
</cp:coreProperties>
</file>