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AE7EC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5E0942C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E66F4F">
        <w:rPr>
          <w:rFonts w:ascii="Times New Roman" w:eastAsia="Calibri" w:hAnsi="Times New Roman"/>
          <w:b/>
          <w:iCs/>
          <w:sz w:val="28"/>
          <w:szCs w:val="28"/>
        </w:rPr>
        <w:t>4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E66F4F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E66F4F">
              <w:fldChar w:fldCharType="begin"/>
            </w:r>
            <w:r w:rsidR="00E66F4F">
              <w:instrText xml:space="preserve"> HYPERLINK "https://ipae.uran</w:instrText>
            </w:r>
            <w:r w:rsidR="00E66F4F">
              <w:instrText>.ru/sites/default/files/gallery/files/%D0%9A%D1%80%D0%B8%D1%82%D0%B5%D1%80%D0%B8%D0%B8%20%D0%BE%D1%86%D0%B5%D0%BD%D0%BA%D0%B8%20%D0%B7%D0%B0%20%D1%83%D1%81%D1%82%D0%BD%D1%8B%D0%B9%20%D0%BE%D1%82%D0%B2%D0%B5%D1%82%20%D0%BD%D0%B0%20%D1%8D%D0%BA%D0%B7%D0%B0%D</w:instrText>
            </w:r>
            <w:r w:rsidR="00E66F4F">
              <w:instrText xml:space="preserve">0%BC%D0%B5%D0%BD%D0%B5.pdf" \t "_blank" </w:instrText>
            </w:r>
            <w:r w:rsidR="00E66F4F">
              <w:fldChar w:fldCharType="separate"/>
            </w:r>
            <w:r w:rsidR="00E66F4F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D6B3A0" w14:textId="77777777" w:rsidR="00D25F94" w:rsidRPr="00D25F94" w:rsidRDefault="00D25F94" w:rsidP="00D25F9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E66F4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E66F4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E66F4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E66F4F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E66F4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E66F4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E66F4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E66F4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E66F4F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E66F4F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E66F4F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E66F4F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E66F4F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E66F4F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E66F4F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E66F4F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E66F4F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E66F4F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E66F4F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E66F4F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E66F4F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E66F4F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E66F4F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E66F4F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E66F4F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E66F4F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E66F4F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E66F4F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E66F4F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E66F4F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E66F4F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E66F4F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E66F4F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E66F4F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E66F4F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E66F4F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E66F4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E66F4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E66F4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E66F4F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E66F4F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E66F4F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E66F4F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E66F4F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E66F4F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E66F4F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E66F4F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E66F4F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E66F4F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E66F4F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E66F4F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E66F4F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E66F4F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E66F4F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E66F4F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E66F4F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E66F4F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E66F4F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E66F4F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E66F4F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E66F4F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E66F4F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E66F4F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E66F4F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E66F4F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E66F4F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E66F4F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E66F4F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E66F4F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E66F4F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E66F4F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E66F4F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E66F4F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E66F4F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E66F4F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E66F4F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E66F4F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E66F4F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E66F4F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E66F4F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E66F4F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E66F4F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E66F4F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E66F4F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E66F4F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E66F4F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E66F4F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E66F4F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E66F4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E66F4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E66F4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E66F4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E66F4F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E66F4F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E66F4F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E66F4F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E66F4F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E66F4F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E66F4F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E66F4F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E66F4F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E66F4F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E66F4F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E66F4F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E66F4F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E66F4F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E66F4F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E66F4F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E66F4F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E66F4F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E66F4F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E66F4F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E66F4F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E66F4F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E66F4F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E66F4F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E66F4F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E66F4F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E66F4F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E66F4F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E66F4F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E66F4F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E66F4F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E66F4F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E66F4F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E66F4F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E66F4F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E66F4F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E66F4F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E66F4F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E66F4F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E66F4F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E66F4F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E66F4F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E66F4F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E66F4F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E66F4F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E66F4F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E66F4F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E66F4F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2304697" w14:textId="77777777" w:rsidR="00D25F94" w:rsidRPr="00C40DF7" w:rsidRDefault="00D25F94" w:rsidP="00D25F9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ОПК-6</w:t>
      </w:r>
    </w:p>
    <w:p w14:paraId="1110BA9E" w14:textId="77777777" w:rsidR="00D25F94" w:rsidRPr="00C40DF7" w:rsidRDefault="00D25F94" w:rsidP="00D25F94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D3F5E0" w14:textId="02918330" w:rsidR="00D25F94" w:rsidRPr="00C40DF7" w:rsidRDefault="00E66F4F" w:rsidP="00D25F9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1B20A2AD" w14:textId="77777777" w:rsidR="00D25F94" w:rsidRPr="00C40DF7" w:rsidRDefault="00D25F94" w:rsidP="00D25F9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6790E29" w14:textId="77777777" w:rsidR="0056439B" w:rsidRDefault="0056439B" w:rsidP="00D25F94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B8C94" w14:textId="2190AE3D" w:rsidR="00D25F94" w:rsidRDefault="00D25F94" w:rsidP="00D25F94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C3C9F9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2CC2E1C2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Структура уголовно-правовой нормы. Понятие и виды диспозиций и санкций.</w:t>
      </w:r>
    </w:p>
    <w:p w14:paraId="4B5BA60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15FCDFCA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21221749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 Категоризация преступлений</w:t>
      </w:r>
    </w:p>
    <w:p w14:paraId="33E40943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4E441C97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609B11D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5CDC5A5C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>
        <w:rPr>
          <w:rFonts w:ascii="Times New Roman" w:hAnsi="Times New Roman"/>
          <w:sz w:val="28"/>
          <w:szCs w:val="28"/>
        </w:rPr>
        <w:t>Потерпевший.</w:t>
      </w:r>
    </w:p>
    <w:p w14:paraId="0C835770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25BE1943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08DBF450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793853C9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00F3451A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0FAEAC52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B15904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454C7B2C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21E2FE3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7B1FD654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0F6E3D92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133CB0A1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Понятие соучастия в преступлении. Объективные и субъективные признаки соучастия. </w:t>
      </w:r>
    </w:p>
    <w:p w14:paraId="1A50D8DF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2A9CA852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6F22C4D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239A7000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6C7644C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5A5FAF91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23DF468A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47A1CF1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25924640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779DD51F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7D05F839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6910AD8C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3FDEC407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0131729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576C58D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7298D485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6C1DD6CB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4FC619EA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DDCFCB2" w14:textId="77777777" w:rsidR="0056439B" w:rsidRDefault="0056439B" w:rsidP="00E66F4F">
      <w:pPr>
        <w:numPr>
          <w:ilvl w:val="0"/>
          <w:numId w:val="42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14:paraId="77771055" w14:textId="77777777" w:rsidR="00D25F94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C39EF7B" w14:textId="77777777" w:rsidR="00D25F94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DBA84FE" w14:textId="12081C7F" w:rsidR="00D25F94" w:rsidRPr="0065314B" w:rsidRDefault="00D25F94" w:rsidP="00D25F9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D25F94" w:rsidRPr="0065314B" w14:paraId="63BF0796" w14:textId="77777777" w:rsidTr="006B14F4">
        <w:trPr>
          <w:trHeight w:val="1832"/>
        </w:trPr>
        <w:tc>
          <w:tcPr>
            <w:tcW w:w="1526" w:type="dxa"/>
          </w:tcPr>
          <w:p w14:paraId="678CBE57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1D6F070B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476DF901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0F66431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76E9AEB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93A1186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25F94" w:rsidRPr="0065314B" w14:paraId="14621F27" w14:textId="77777777" w:rsidTr="006B14F4">
        <w:tc>
          <w:tcPr>
            <w:tcW w:w="1526" w:type="dxa"/>
          </w:tcPr>
          <w:p w14:paraId="3292F164" w14:textId="77777777" w:rsidR="00D25F94" w:rsidRPr="0065314B" w:rsidRDefault="00D25F94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E66F4F">
              <w:fldChar w:fldCharType="begin"/>
            </w:r>
            <w:r w:rsidR="00E66F4F">
              <w:instrText xml:space="preserve"> HYPERLINK "https://ipae.uran.ru/sites/default/files/gallery/files/%D0%9A%D1%80%D0%B8%D1%82%D0%B5%D1%80%D0%B8%D0%B8%20%D0%BE%D1%86%D0%B5%D0%BD%D0%BA%D0%B8%20%D0%B7%D0%B0%20%D1%83%D1%81%D1%82%D0%BD%D1%8B%D0%B9%20%D0%BE%D1%82%D0%B2%D0%B5%D1%82%20%D0%BD%D0%B0</w:instrText>
            </w:r>
            <w:r w:rsidR="00E66F4F">
              <w:instrText xml:space="preserve">%20%D1%8D%D0%BA%D0%B7%D0%B0%D0%BC%D0%B5%D0%BD%D0%B5.pdf" \t "_blank" </w:instrText>
            </w:r>
            <w:r w:rsidR="00E66F4F">
              <w:fldChar w:fldCharType="separate"/>
            </w:r>
            <w:r w:rsidR="00E66F4F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4A435262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3BC5744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3B6C8121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CA29605" w14:textId="77777777" w:rsidR="00D25F94" w:rsidRPr="0065314B" w:rsidRDefault="00D25F94" w:rsidP="00E66F4F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351CCC6" w14:textId="77777777" w:rsidR="00D25F94" w:rsidRPr="00430A51" w:rsidRDefault="00D25F94" w:rsidP="00D25F94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1DA29B65" w14:textId="77777777" w:rsidR="00D25F94" w:rsidRDefault="00D25F94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7FA5C0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E66F4F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672AF2D9" w14:textId="74B138A9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</w:t>
      </w:r>
      <w:r w:rsidR="00D25F94">
        <w:rPr>
          <w:rFonts w:ascii="Times New Roman" w:hAnsi="Times New Roman"/>
          <w:b/>
          <w:sz w:val="28"/>
          <w:szCs w:val="28"/>
        </w:rPr>
        <w:t>6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12727547" w:rsidR="00A529E3" w:rsidRPr="0080603A" w:rsidRDefault="00C40DF7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25F94">
        <w:rPr>
          <w:rFonts w:ascii="Times New Roman" w:hAnsi="Times New Roman"/>
          <w:b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66F4F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E66F4F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14:paraId="418483A7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14:paraId="5B408A73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E66F4F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E66F4F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194EBEAA" w14:textId="77777777" w:rsidR="00D25F94" w:rsidRDefault="00D25F94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35A51621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E66F4F">
            <w:pPr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E66F4F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</w:t>
      </w:r>
      <w:proofErr w:type="gramStart"/>
      <w:r w:rsidRPr="00784AD9">
        <w:rPr>
          <w:rFonts w:ascii="Times New Roman" w:eastAsia="Calibri" w:hAnsi="Times New Roman"/>
          <w:kern w:val="2"/>
          <w:sz w:val="28"/>
          <w:szCs w:val="28"/>
        </w:rPr>
        <w:t>гражданина</w:t>
      </w:r>
      <w:proofErr w:type="gramEnd"/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и логика изложения </w:t>
            </w: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 xml:space="preserve">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Климов, войдя в здание института, воспользовался отсутствием гардеробщицы, проник в отгороженное помещение раздевалки и взял два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262DE3"/>
    <w:multiLevelType w:val="hybridMultilevel"/>
    <w:tmpl w:val="3D868FC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24"/>
  </w:num>
  <w:num w:numId="5">
    <w:abstractNumId w:val="30"/>
  </w:num>
  <w:num w:numId="6">
    <w:abstractNumId w:val="22"/>
  </w:num>
  <w:num w:numId="7">
    <w:abstractNumId w:val="7"/>
  </w:num>
  <w:num w:numId="8">
    <w:abstractNumId w:val="18"/>
  </w:num>
  <w:num w:numId="9">
    <w:abstractNumId w:val="35"/>
  </w:num>
  <w:num w:numId="10">
    <w:abstractNumId w:val="6"/>
  </w:num>
  <w:num w:numId="11">
    <w:abstractNumId w:val="31"/>
  </w:num>
  <w:num w:numId="12">
    <w:abstractNumId w:val="2"/>
  </w:num>
  <w:num w:numId="13">
    <w:abstractNumId w:val="27"/>
  </w:num>
  <w:num w:numId="14">
    <w:abstractNumId w:val="1"/>
  </w:num>
  <w:num w:numId="15">
    <w:abstractNumId w:val="37"/>
  </w:num>
  <w:num w:numId="16">
    <w:abstractNumId w:val="20"/>
  </w:num>
  <w:num w:numId="17">
    <w:abstractNumId w:val="11"/>
  </w:num>
  <w:num w:numId="18">
    <w:abstractNumId w:val="16"/>
  </w:num>
  <w:num w:numId="19">
    <w:abstractNumId w:val="32"/>
  </w:num>
  <w:num w:numId="20">
    <w:abstractNumId w:val="29"/>
  </w:num>
  <w:num w:numId="21">
    <w:abstractNumId w:val="39"/>
  </w:num>
  <w:num w:numId="22">
    <w:abstractNumId w:val="10"/>
  </w:num>
  <w:num w:numId="23">
    <w:abstractNumId w:val="38"/>
  </w:num>
  <w:num w:numId="24">
    <w:abstractNumId w:val="15"/>
  </w:num>
  <w:num w:numId="25">
    <w:abstractNumId w:val="14"/>
  </w:num>
  <w:num w:numId="26">
    <w:abstractNumId w:val="3"/>
  </w:num>
  <w:num w:numId="27">
    <w:abstractNumId w:val="23"/>
  </w:num>
  <w:num w:numId="28">
    <w:abstractNumId w:val="33"/>
  </w:num>
  <w:num w:numId="29">
    <w:abstractNumId w:val="4"/>
  </w:num>
  <w:num w:numId="30">
    <w:abstractNumId w:val="13"/>
  </w:num>
  <w:num w:numId="31">
    <w:abstractNumId w:val="36"/>
  </w:num>
  <w:num w:numId="32">
    <w:abstractNumId w:val="21"/>
  </w:num>
  <w:num w:numId="33">
    <w:abstractNumId w:val="8"/>
  </w:num>
  <w:num w:numId="34">
    <w:abstractNumId w:val="28"/>
  </w:num>
  <w:num w:numId="35">
    <w:abstractNumId w:val="26"/>
  </w:num>
  <w:num w:numId="36">
    <w:abstractNumId w:val="19"/>
  </w:num>
  <w:num w:numId="37">
    <w:abstractNumId w:val="9"/>
  </w:num>
  <w:num w:numId="38">
    <w:abstractNumId w:val="34"/>
  </w:num>
  <w:num w:numId="39">
    <w:abstractNumId w:val="0"/>
  </w:num>
  <w:num w:numId="40">
    <w:abstractNumId w:val="41"/>
  </w:num>
  <w:num w:numId="41">
    <w:abstractNumId w:val="17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157EA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6439B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25F94"/>
    <w:rsid w:val="00D33898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66F4F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6811</Words>
  <Characters>38828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2026-03-17T11:27:00Z</dcterms:created>
  <dcterms:modified xsi:type="dcterms:W3CDTF">2026-03-20T09:37:00Z</dcterms:modified>
</cp:coreProperties>
</file>