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22D6" w14:textId="77777777" w:rsidR="00B654F5" w:rsidRDefault="00B654F5" w:rsidP="0043164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7D468D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0703FD19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6A6647">
        <w:rPr>
          <w:rFonts w:ascii="Times New Roman" w:hAnsi="Times New Roman"/>
          <w:b/>
          <w:sz w:val="28"/>
          <w:szCs w:val="28"/>
        </w:rPr>
        <w:t>1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15ECE5E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6A6647"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2204126B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6A6647">
        <w:rPr>
          <w:rFonts w:ascii="Times New Roman" w:eastAsia="Calibri" w:hAnsi="Times New Roman"/>
          <w:sz w:val="28"/>
          <w:szCs w:val="28"/>
        </w:rPr>
        <w:t>зачет</w:t>
      </w:r>
      <w:r w:rsidRPr="007D468D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F4D1F1F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6A6647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2E28401" w14:textId="77777777" w:rsidR="007D468D" w:rsidRPr="00E6668C" w:rsidRDefault="007D468D" w:rsidP="007D468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7D468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Классификации состава преступления (на конкретных примерах).</w:t>
      </w:r>
    </w:p>
    <w:p w14:paraId="1E39EA2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0C2DE0E3" w14:textId="77777777" w:rsid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D6FA2FA" w14:textId="77777777" w:rsidR="006A6647" w:rsidRPr="0065314B" w:rsidRDefault="006A6647" w:rsidP="006A6647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6A6647" w:rsidRPr="0065314B" w14:paraId="2E6B26A2" w14:textId="77777777" w:rsidTr="00F416A7">
        <w:trPr>
          <w:trHeight w:val="1832"/>
        </w:trPr>
        <w:tc>
          <w:tcPr>
            <w:tcW w:w="1526" w:type="dxa"/>
          </w:tcPr>
          <w:p w14:paraId="6ECC30BA" w14:textId="77777777" w:rsidR="006A6647" w:rsidRPr="0065314B" w:rsidRDefault="006A6647" w:rsidP="00F416A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2A763C98" w14:textId="77777777" w:rsidR="006A6647" w:rsidRPr="0065314B" w:rsidRDefault="006A6647" w:rsidP="00F416A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4FF51C9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1F15933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42F7B073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3390B16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A6647" w:rsidRPr="0065314B" w14:paraId="2AD1B4C1" w14:textId="77777777" w:rsidTr="00F416A7">
        <w:tc>
          <w:tcPr>
            <w:tcW w:w="1526" w:type="dxa"/>
          </w:tcPr>
          <w:p w14:paraId="5FB5CDF2" w14:textId="77777777" w:rsidR="006A6647" w:rsidRPr="0065314B" w:rsidRDefault="006A6647" w:rsidP="00F416A7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separate"/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CAAA67D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9C1E0A1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3DD34473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CF5BFF3" w14:textId="77777777" w:rsidR="006A6647" w:rsidRPr="0065314B" w:rsidRDefault="006A6647" w:rsidP="006A6647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28AD030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21C98AB9" w14:textId="60C0E129" w:rsidR="007D468D" w:rsidRP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>статьями Особенной части УК РФ, а также за все преступления, 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lastRenderedPageBreak/>
        <w:t>грубое нарушение общественного порядка</w:t>
      </w:r>
    </w:p>
    <w:p w14:paraId="6905B2C4" w14:textId="77777777" w:rsid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с особой жестокостью и общеопасным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заражения венерической болезнью и вич-инфекцией;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7D468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</w:t>
      </w:r>
      <w:r w:rsidRPr="00E6668C">
        <w:rPr>
          <w:rFonts w:ascii="Times New Roman" w:hAnsi="Times New Roman"/>
          <w:sz w:val="28"/>
          <w:szCs w:val="28"/>
        </w:rPr>
        <w:lastRenderedPageBreak/>
        <w:t xml:space="preserve">применяли при совершении указанных разбоев. </w:t>
      </w:r>
      <w:proofErr w:type="gramStart"/>
      <w:r w:rsidRPr="00E6668C">
        <w:rPr>
          <w:rFonts w:ascii="Times New Roman" w:hAnsi="Times New Roman"/>
          <w:sz w:val="28"/>
          <w:szCs w:val="28"/>
        </w:rPr>
        <w:t>Кроме этого</w:t>
      </w:r>
      <w:proofErr w:type="gramEnd"/>
      <w:r w:rsidRPr="00E6668C">
        <w:rPr>
          <w:rFonts w:ascii="Times New Roman" w:hAnsi="Times New Roman"/>
          <w:sz w:val="28"/>
          <w:szCs w:val="28"/>
        </w:rPr>
        <w:t xml:space="preserve">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хранил в сейфе у себя дома. (В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7D468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7D468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</w:t>
      </w:r>
      <w:r w:rsidRPr="00E6668C">
        <w:rPr>
          <w:szCs w:val="28"/>
        </w:rPr>
        <w:lastRenderedPageBreak/>
        <w:t>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Туркин в состоянии алкогольного опьянения в рейсовом автобусе прервал в грубой форме разговор Савиновой и Шашковой,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443E2FE" w14:textId="77777777" w:rsidR="006A6647" w:rsidRDefault="006A6647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63D067E4" w14:textId="31DDC7B9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lastRenderedPageBreak/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Брискин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7D468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>Квалифицируйте действия Брискина.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9696748">
    <w:abstractNumId w:val="9"/>
  </w:num>
  <w:num w:numId="2" w16cid:durableId="511577991">
    <w:abstractNumId w:val="0"/>
  </w:num>
  <w:num w:numId="3" w16cid:durableId="1845365074">
    <w:abstractNumId w:val="8"/>
  </w:num>
  <w:num w:numId="4" w16cid:durableId="206451228">
    <w:abstractNumId w:val="1"/>
  </w:num>
  <w:num w:numId="5" w16cid:durableId="1232496240">
    <w:abstractNumId w:val="12"/>
  </w:num>
  <w:num w:numId="6" w16cid:durableId="1621916296">
    <w:abstractNumId w:val="5"/>
  </w:num>
  <w:num w:numId="7" w16cid:durableId="1383938567">
    <w:abstractNumId w:val="10"/>
  </w:num>
  <w:num w:numId="8" w16cid:durableId="1435907246">
    <w:abstractNumId w:val="6"/>
  </w:num>
  <w:num w:numId="9" w16cid:durableId="91248383">
    <w:abstractNumId w:val="11"/>
  </w:num>
  <w:num w:numId="10" w16cid:durableId="260144760">
    <w:abstractNumId w:val="3"/>
  </w:num>
  <w:num w:numId="11" w16cid:durableId="1981959471">
    <w:abstractNumId w:val="7"/>
  </w:num>
  <w:num w:numId="12" w16cid:durableId="760636864">
    <w:abstractNumId w:val="2"/>
  </w:num>
  <w:num w:numId="13" w16cid:durableId="1399547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A6647"/>
    <w:rsid w:val="006B718E"/>
    <w:rsid w:val="00715445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9633E"/>
    <w:rsid w:val="00997AB5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C219B9"/>
    <w:rsid w:val="00CE3885"/>
    <w:rsid w:val="00D13A50"/>
    <w:rsid w:val="00D33898"/>
    <w:rsid w:val="00D354DA"/>
    <w:rsid w:val="00D44A94"/>
    <w:rsid w:val="00D90126"/>
    <w:rsid w:val="00DB569B"/>
    <w:rsid w:val="00E112BF"/>
    <w:rsid w:val="00E332A8"/>
    <w:rsid w:val="00E6668C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6A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4</cp:revision>
  <dcterms:created xsi:type="dcterms:W3CDTF">2026-03-18T08:58:00Z</dcterms:created>
  <dcterms:modified xsi:type="dcterms:W3CDTF">2026-03-18T13:14:00Z</dcterms:modified>
</cp:coreProperties>
</file>