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27CB5152" w14:textId="6A25D9A1" w:rsidR="007C7F97" w:rsidRDefault="007C7F97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DE070F"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272B7D30" w14:textId="77777777" w:rsidR="00DE070F" w:rsidRPr="007C7F97" w:rsidRDefault="00DE070F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5B857930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6E42E4">
        <w:rPr>
          <w:rFonts w:ascii="Times New Roman" w:hAnsi="Times New Roman"/>
          <w:b/>
          <w:iCs/>
          <w:sz w:val="28"/>
          <w:szCs w:val="28"/>
        </w:rPr>
        <w:t>7</w:t>
      </w:r>
      <w:bookmarkStart w:id="1" w:name="_GoBack"/>
      <w:bookmarkEnd w:id="1"/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4957AB48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 транспортных преступлений.</w:t>
      </w:r>
    </w:p>
    <w:p w14:paraId="347CF186" w14:textId="17343811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транспортных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1361FE7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C7F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4472CB51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17"/>
        <w:gridCol w:w="7040"/>
      </w:tblGrid>
      <w:tr w:rsidR="007C7F97" w:rsidRPr="007C7F97" w14:paraId="30E9C3C3" w14:textId="77777777" w:rsidTr="006B14F4">
        <w:tc>
          <w:tcPr>
            <w:tcW w:w="1668" w:type="dxa"/>
          </w:tcPr>
          <w:p w14:paraId="02EEB992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B51D309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D19AE34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D3CD8A2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324F8D3A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7C7F97" w:rsidRPr="007C7F97" w14:paraId="5FB7F9B0" w14:textId="77777777" w:rsidTr="006B14F4">
        <w:tc>
          <w:tcPr>
            <w:tcW w:w="1668" w:type="dxa"/>
          </w:tcPr>
          <w:p w14:paraId="1307D394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E4C9009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3E76BF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95E502E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236E9E7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C7F97" w:rsidRPr="007C7F97" w14:paraId="23062EE8" w14:textId="77777777" w:rsidTr="006B14F4">
        <w:tc>
          <w:tcPr>
            <w:tcW w:w="1668" w:type="dxa"/>
          </w:tcPr>
          <w:p w14:paraId="2FF2CCAD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0A2C65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FA0BC7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646C1E64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2D6BC65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C7F97" w:rsidRPr="007C7F97" w14:paraId="2FDABCA3" w14:textId="77777777" w:rsidTr="006B14F4">
        <w:tc>
          <w:tcPr>
            <w:tcW w:w="1668" w:type="dxa"/>
          </w:tcPr>
          <w:p w14:paraId="3F42474F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CB6710C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раскрыто его основное содержание;</w:t>
            </w:r>
          </w:p>
          <w:p w14:paraId="2E1BC0E9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9C485AE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034958A7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5837502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2CBC9F" w14:textId="77777777" w:rsidR="007C7F97" w:rsidRPr="007C7F97" w:rsidRDefault="007C7F97" w:rsidP="007C7F9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4CF303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D1365FF" w14:textId="77777777" w:rsidR="007C7F97" w:rsidRPr="007C7F97" w:rsidRDefault="007C7F97" w:rsidP="007C7F97"/>
    <w:p w14:paraId="31E932D4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C7F97">
        <w:rPr>
          <w:rFonts w:ascii="Times New Roman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41A58D8F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E60D69F" w14:textId="7F6DDA2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1.Особенности законодательной регламентации ответственности за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транспортные преступления: исторический аспект.</w:t>
      </w:r>
    </w:p>
    <w:p w14:paraId="77D22B27" w14:textId="0E6B9FD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2.Особенности современного уголовного законодательства зарубежных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стран об ответственности за транспортные преступления.</w:t>
      </w:r>
    </w:p>
    <w:p w14:paraId="0FC64943" w14:textId="0D9DF74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3.Преступления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 и речных транспортных средств.</w:t>
      </w:r>
    </w:p>
    <w:p w14:paraId="110B3259" w14:textId="042E039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4.Преступления в сфере функционирования всех видов механических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485D1353" w14:textId="51E7350B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5.Современные тенденции в развитии законодательства об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ответственности за транспортные преступления.</w:t>
      </w:r>
    </w:p>
    <w:p w14:paraId="35BB2381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6.Общее понятие, система и виды транспортных преступлений.</w:t>
      </w:r>
    </w:p>
    <w:p w14:paraId="18CD3C11" w14:textId="3D07C1A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7.Преступления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морских, дорожно-транспортных и речных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148611A6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8.Общая характеристика транспортных преступлений.</w:t>
      </w:r>
    </w:p>
    <w:p w14:paraId="765FCCFE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9.Транспортные преступления и транспортные проступки.</w:t>
      </w:r>
    </w:p>
    <w:p w14:paraId="5448153F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10.Особенности объекта транспортных преступлений.</w:t>
      </w:r>
    </w:p>
    <w:p w14:paraId="6C63FE28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11.Специфика предмета транспортных преступлений.</w:t>
      </w:r>
    </w:p>
    <w:p w14:paraId="531A306D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12.Субъект транспортных преступлений: особенности квалификации.</w:t>
      </w:r>
    </w:p>
    <w:p w14:paraId="31ED381D" w14:textId="0FE8A2E4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13.Особенности описания объективной стороны транспортных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1BAA1330" w14:textId="0E1D39F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14.Особенности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267 УК РФ.</w:t>
      </w:r>
    </w:p>
    <w:p w14:paraId="5BF114BF" w14:textId="6616776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15.Особенности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270 УК РФ.</w:t>
      </w:r>
    </w:p>
    <w:p w14:paraId="4AB5C6AB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16.Квалиицировать диверсию, совершённую организованной группой.</w:t>
      </w:r>
    </w:p>
    <w:p w14:paraId="3A935B7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lastRenderedPageBreak/>
        <w:t>17.Признаки преступления, учитываемые при его квалификации.</w:t>
      </w:r>
    </w:p>
    <w:p w14:paraId="42280FA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18.Процесс квалификации преступления.</w:t>
      </w:r>
    </w:p>
    <w:p w14:paraId="3540218B" w14:textId="116673E6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19.Транспортные преступления и преступления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7C7F97">
        <w:rPr>
          <w:rFonts w:ascii="Times New Roman" w:hAnsi="Times New Roman"/>
          <w:bCs/>
          <w:iCs/>
          <w:sz w:val="28"/>
          <w:szCs w:val="28"/>
        </w:rPr>
        <w:t>совершаемые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транспорте, их сходство и разграничение.</w:t>
      </w:r>
    </w:p>
    <w:p w14:paraId="7853A9E9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20.Причины квалификационных ошибок.</w:t>
      </w:r>
    </w:p>
    <w:p w14:paraId="7723185B" w14:textId="648FBFFD" w:rsidR="00354081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21.Источники уголовного закона, используемые при квалификации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преступления.</w:t>
      </w:r>
    </w:p>
    <w:p w14:paraId="7FB64828" w14:textId="77777777" w:rsid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50B3114" w14:textId="7548AA32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9668E0D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C7F97" w:rsidRPr="007C7F97" w14:paraId="0328BA4C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74FF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202C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010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F195699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AB08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3F4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654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0C1CF2B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0FC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800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9F96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1C5C2AA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48CA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5B1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E51C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762035BD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2D73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540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02F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7F128BC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9CB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87C6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7D5D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B486DF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A6D2EE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C7F97" w:rsidRPr="007C7F97" w14:paraId="01EFE57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DD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F6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D37B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C7F97" w:rsidRPr="007C7F97" w14:paraId="0F23E5E3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B438AA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192C1DB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50D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81F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1309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7C7F97" w:rsidRPr="007C7F97" w14:paraId="409D2953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EFF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6B1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40D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835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87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E12AD01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264C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26F3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FCF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3F0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474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387BF56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ED22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0F2A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819F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6F8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564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C7F97" w:rsidRPr="007C7F97" w14:paraId="181D5AE1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074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221B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4A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70D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C57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E700210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1DF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575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3A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E7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B34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7EBB618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F41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6E8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401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64D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0FB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9220395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8E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34D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215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91C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4F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C7F97" w:rsidRPr="007C7F97" w14:paraId="26EF4179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3DC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BC2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161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410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81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</w:tr>
      <w:tr w:rsidR="007C7F97" w:rsidRPr="007C7F97" w14:paraId="14BA1A8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85D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5C80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7AB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544A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48E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C7F97" w:rsidRPr="007C7F97" w14:paraId="72128358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CD1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497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1D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FC2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63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55F1B15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573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97A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E6F1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4AC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442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6DFCEA0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C434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D80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70C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0DA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BD6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1F08ECAA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94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20E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491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D0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FEA5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C7F97" w:rsidRPr="007C7F97" w14:paraId="5A5E36A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FED0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4F39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197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E42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26F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269AA07A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применения  законодательства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Из входящих в гл. 27 УК было </w:t>
      </w:r>
      <w:proofErr w:type="spellStart"/>
      <w:r w:rsidRPr="007A52A3">
        <w:rPr>
          <w:rFonts w:ascii="Times New Roman" w:hAnsi="Times New Roman"/>
          <w:b/>
          <w:bCs/>
          <w:sz w:val="28"/>
          <w:szCs w:val="28"/>
        </w:rPr>
        <w:t>декриминализировано</w:t>
      </w:r>
      <w:proofErr w:type="spellEnd"/>
      <w:r w:rsidRPr="007A52A3">
        <w:rPr>
          <w:rFonts w:ascii="Times New Roman" w:hAnsi="Times New Roman"/>
          <w:b/>
          <w:bCs/>
          <w:sz w:val="28"/>
          <w:szCs w:val="28"/>
        </w:rPr>
        <w:t>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C397D"/>
    <w:rsid w:val="004D1D64"/>
    <w:rsid w:val="005261B5"/>
    <w:rsid w:val="005D2387"/>
    <w:rsid w:val="0062608A"/>
    <w:rsid w:val="00642C27"/>
    <w:rsid w:val="00696621"/>
    <w:rsid w:val="006E42E4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16E8F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070F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3933</Words>
  <Characters>22423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2026-03-18T09:23:00Z</dcterms:created>
  <dcterms:modified xsi:type="dcterms:W3CDTF">2026-03-20T10:52:00Z</dcterms:modified>
</cp:coreProperties>
</file>