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3EC949BC" w14:textId="7777777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6AC1926F" w14:textId="1983D111" w:rsidR="00B14593" w:rsidRPr="00B14593" w:rsidRDefault="00404898"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w:t>
      </w:r>
      <w:r w:rsidR="00837012">
        <w:rPr>
          <w:rFonts w:ascii="Times New Roman" w:eastAsia="Calibri" w:hAnsi="Times New Roman"/>
          <w:b/>
          <w:iCs/>
          <w:sz w:val="28"/>
          <w:szCs w:val="28"/>
          <w:lang w:eastAsia="en-US"/>
        </w:rPr>
        <w:t xml:space="preserve"> 4</w:t>
      </w:r>
      <w:bookmarkStart w:id="0" w:name="_GoBack"/>
      <w:bookmarkEnd w:id="0"/>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0A6847">
      <w:pPr>
        <w:spacing w:after="0" w:line="276" w:lineRule="auto"/>
        <w:ind w:left="720"/>
        <w:jc w:val="both"/>
        <w:rPr>
          <w:rFonts w:ascii="Times New Roman" w:hAnsi="Times New Roman"/>
          <w:sz w:val="28"/>
          <w:szCs w:val="28"/>
        </w:rPr>
      </w:pPr>
    </w:p>
    <w:p w14:paraId="65C5F541" w14:textId="1E0C54F2" w:rsidR="000A6847" w:rsidRPr="00EB15E8" w:rsidRDefault="000A6847" w:rsidP="000A6847">
      <w:pPr>
        <w:spacing w:after="0" w:line="276" w:lineRule="auto"/>
        <w:ind w:left="720"/>
        <w:jc w:val="both"/>
        <w:rPr>
          <w:rFonts w:ascii="Times New Roman" w:hAnsi="Times New Roman"/>
          <w:sz w:val="28"/>
          <w:szCs w:val="28"/>
        </w:rPr>
      </w:pPr>
      <w:r w:rsidRPr="000A6847">
        <w:rPr>
          <w:rFonts w:ascii="Times New Roman" w:hAnsi="Times New Roman"/>
          <w:sz w:val="28"/>
          <w:szCs w:val="28"/>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0A6847" w:rsidRPr="000A6847" w14:paraId="2DF15727" w14:textId="77777777" w:rsidTr="001F4576">
        <w:trPr>
          <w:trHeight w:val="1832"/>
        </w:trPr>
        <w:tc>
          <w:tcPr>
            <w:tcW w:w="1526" w:type="dxa"/>
          </w:tcPr>
          <w:p w14:paraId="1C5FA24C"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bCs/>
                <w:sz w:val="24"/>
                <w:szCs w:val="24"/>
              </w:rPr>
              <w:t>Зачтено</w:t>
            </w:r>
          </w:p>
          <w:p w14:paraId="1BE1EFAA" w14:textId="77777777" w:rsidR="000A6847" w:rsidRPr="000A6847" w:rsidRDefault="000A6847" w:rsidP="000A6847">
            <w:pPr>
              <w:spacing w:after="0" w:line="276" w:lineRule="auto"/>
              <w:rPr>
                <w:rFonts w:ascii="Times New Roman" w:eastAsia="Times New Roman" w:hAnsi="Times New Roman"/>
                <w:b/>
                <w:bCs/>
                <w:sz w:val="24"/>
                <w:szCs w:val="24"/>
              </w:rPr>
            </w:pPr>
          </w:p>
        </w:tc>
        <w:tc>
          <w:tcPr>
            <w:tcW w:w="8331" w:type="dxa"/>
          </w:tcPr>
          <w:p w14:paraId="45B40D1F"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2768393A"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50826E9" w14:textId="77777777" w:rsid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0B99FFA7" w14:textId="08E7F0A9" w:rsidR="000A6847" w:rsidRP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E65833">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0A6847" w:rsidRPr="000A6847" w14:paraId="2DD02481" w14:textId="77777777" w:rsidTr="001F4576">
        <w:tc>
          <w:tcPr>
            <w:tcW w:w="1526" w:type="dxa"/>
          </w:tcPr>
          <w:p w14:paraId="1EA93076"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sz w:val="24"/>
                <w:szCs w:val="24"/>
              </w:rPr>
              <w:t> </w:t>
            </w:r>
            <w:proofErr w:type="spellStart"/>
            <w:r w:rsidRPr="000A6847">
              <w:rPr>
                <w:rFonts w:ascii="Times New Roman" w:eastAsia="Calibri" w:hAnsi="Times New Roman"/>
                <w:b/>
                <w:sz w:val="24"/>
                <w:szCs w:val="24"/>
                <w:lang w:eastAsia="en-US"/>
              </w:rPr>
              <w:fldChar w:fldCharType="begin"/>
            </w:r>
            <w:r w:rsidRPr="000A6847">
              <w:rPr>
                <w:rFonts w:ascii="Times New Roman" w:eastAsia="Calibri" w:hAnsi="Times New Roman"/>
                <w:b/>
                <w:sz w:val="24"/>
                <w:szCs w:val="24"/>
                <w:lang w:eastAsia="en-US"/>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A6847">
              <w:rPr>
                <w:rFonts w:ascii="Times New Roman" w:eastAsia="Calibri" w:hAnsi="Times New Roman"/>
                <w:b/>
                <w:sz w:val="24"/>
                <w:szCs w:val="24"/>
                <w:lang w:eastAsia="en-US"/>
              </w:rPr>
              <w:fldChar w:fldCharType="end"/>
            </w:r>
            <w:r w:rsidRPr="000A6847">
              <w:rPr>
                <w:rFonts w:ascii="Times New Roman" w:eastAsia="Calibri" w:hAnsi="Times New Roman"/>
                <w:b/>
                <w:sz w:val="24"/>
                <w:szCs w:val="24"/>
                <w:lang w:eastAsia="en-US"/>
              </w:rPr>
              <w:t>Незачтено</w:t>
            </w:r>
            <w:proofErr w:type="spellEnd"/>
          </w:p>
        </w:tc>
        <w:tc>
          <w:tcPr>
            <w:tcW w:w="8331" w:type="dxa"/>
          </w:tcPr>
          <w:p w14:paraId="5BB4E8AC"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64EE51A"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 xml:space="preserve">допущены грубые ошибки в определениях и понятиях, при использовании терминологии, которые не исправлены после наводящих </w:t>
            </w:r>
            <w:r w:rsidRPr="000A6847">
              <w:rPr>
                <w:rFonts w:ascii="Times New Roman" w:eastAsia="Times New Roman" w:hAnsi="Times New Roman"/>
                <w:sz w:val="24"/>
                <w:szCs w:val="24"/>
              </w:rPr>
              <w:lastRenderedPageBreak/>
              <w:t>вопросов;</w:t>
            </w:r>
          </w:p>
          <w:p w14:paraId="5BB7EF62"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 незнание и непонимание существа экзаменационных вопросов;</w:t>
            </w:r>
          </w:p>
          <w:p w14:paraId="3A6773BE"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b/>
                <w:bCs/>
                <w:sz w:val="24"/>
                <w:szCs w:val="24"/>
              </w:rPr>
            </w:pPr>
            <w:r w:rsidRPr="000A6847">
              <w:rPr>
                <w:rFonts w:ascii="Times New Roman" w:eastAsia="Times New Roman" w:hAnsi="Times New Roman"/>
                <w:sz w:val="24"/>
                <w:szCs w:val="24"/>
              </w:rPr>
              <w:t>не даны ответы на дополнительные или наводящие вопросы</w:t>
            </w:r>
          </w:p>
        </w:tc>
      </w:tr>
    </w:tbl>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BD204B8" w14:textId="77777777" w:rsidR="00404898" w:rsidRPr="00404898" w:rsidRDefault="00404898" w:rsidP="00404898">
      <w:pPr>
        <w:spacing w:after="0" w:line="276" w:lineRule="auto"/>
        <w:ind w:firstLine="709"/>
        <w:jc w:val="both"/>
        <w:rPr>
          <w:rFonts w:ascii="Times New Roman" w:eastAsiaTheme="minorHAnsi" w:hAnsi="Times New Roman" w:cstheme="minorBidi"/>
          <w:bCs/>
          <w:iCs/>
          <w:sz w:val="28"/>
          <w:szCs w:val="28"/>
          <w:lang w:eastAsia="en-US"/>
        </w:rPr>
      </w:pPr>
      <w:r w:rsidRPr="00404898">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51E91F4" w14:textId="77777777" w:rsidR="00562797" w:rsidRDefault="00562797" w:rsidP="00562797">
      <w:pPr>
        <w:spacing w:after="0" w:line="276" w:lineRule="auto"/>
        <w:ind w:firstLine="720"/>
        <w:jc w:val="both"/>
        <w:rPr>
          <w:rFonts w:ascii="Times New Roman" w:hAnsi="Times New Roman"/>
          <w:sz w:val="28"/>
          <w:szCs w:val="28"/>
        </w:rPr>
      </w:pP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lastRenderedPageBreak/>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w:t>
      </w:r>
      <w:r w:rsidRPr="00EB15E8">
        <w:rPr>
          <w:rFonts w:ascii="Times New Roman" w:hAnsi="Times New Roman"/>
          <w:sz w:val="28"/>
          <w:szCs w:val="28"/>
        </w:rPr>
        <w:lastRenderedPageBreak/>
        <w:t>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качестве кого был допрошен Р. до задержания его в порядке ст. 91 УПК РФ? Каковы особенности допроса в этом случае лица, совершившего </w:t>
      </w:r>
      <w:r w:rsidRPr="00EB15E8">
        <w:rPr>
          <w:rFonts w:ascii="Times New Roman" w:hAnsi="Times New Roman"/>
          <w:sz w:val="28"/>
          <w:szCs w:val="28"/>
        </w:rPr>
        <w:lastRenderedPageBreak/>
        <w:t>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w:t>
      </w:r>
      <w:r w:rsidRPr="00EB15E8">
        <w:rPr>
          <w:rFonts w:ascii="Times New Roman" w:hAnsi="Times New Roman"/>
          <w:sz w:val="28"/>
          <w:szCs w:val="28"/>
        </w:rPr>
        <w:lastRenderedPageBreak/>
        <w:t>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w:t>
      </w:r>
      <w:r w:rsidRPr="00EB15E8">
        <w:rPr>
          <w:rFonts w:ascii="Times New Roman" w:hAnsi="Times New Roman"/>
          <w:sz w:val="28"/>
          <w:szCs w:val="28"/>
        </w:rPr>
        <w:lastRenderedPageBreak/>
        <w:t>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530BE39B" w:rsidR="00562797"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A278635" w14:textId="77777777" w:rsidR="00404898" w:rsidRPr="00EB15E8" w:rsidRDefault="00404898"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lastRenderedPageBreak/>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1B6A13"/>
    <w:rsid w:val="00404898"/>
    <w:rsid w:val="004803BD"/>
    <w:rsid w:val="004D25E1"/>
    <w:rsid w:val="00562797"/>
    <w:rsid w:val="0062401E"/>
    <w:rsid w:val="00832BB1"/>
    <w:rsid w:val="00837012"/>
    <w:rsid w:val="00847C28"/>
    <w:rsid w:val="009D2222"/>
    <w:rsid w:val="00B14593"/>
    <w:rsid w:val="00B37B6E"/>
    <w:rsid w:val="00B77EAB"/>
    <w:rsid w:val="00C108B4"/>
    <w:rsid w:val="00CC02B4"/>
    <w:rsid w:val="00E65833"/>
    <w:rsid w:val="00E95E82"/>
    <w:rsid w:val="00EF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16</cp:revision>
  <dcterms:created xsi:type="dcterms:W3CDTF">2026-03-17T11:28:00Z</dcterms:created>
  <dcterms:modified xsi:type="dcterms:W3CDTF">2026-03-20T11:07:00Z</dcterms:modified>
</cp:coreProperties>
</file>