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B844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14:paraId="2BACC3E6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DE41511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5208DDBB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14:paraId="392F1D62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5F871942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5CE0DEF4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39D618A6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657C6242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6FD26287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751ACC1A" w14:textId="77777777" w:rsidR="00524375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5ECAE79F" w14:textId="19DD4E8D" w:rsidR="00524375" w:rsidRPr="004779CD" w:rsidRDefault="00524375" w:rsidP="00A95678">
      <w:pPr>
        <w:jc w:val="center"/>
        <w:rPr>
          <w:rFonts w:eastAsia="Calibri"/>
          <w:b/>
          <w:sz w:val="28"/>
          <w:szCs w:val="28"/>
        </w:rPr>
      </w:pPr>
      <w:r>
        <w:rPr>
          <w:sz w:val="28"/>
        </w:rPr>
        <w:br w:type="page"/>
      </w:r>
      <w:r w:rsidRPr="004779CD">
        <w:rPr>
          <w:rFonts w:eastAsia="Calibri"/>
          <w:b/>
          <w:iCs/>
          <w:sz w:val="28"/>
          <w:szCs w:val="28"/>
        </w:rPr>
        <w:lastRenderedPageBreak/>
        <w:t xml:space="preserve">Примерный перечень вопросов </w:t>
      </w:r>
      <w:r w:rsidRPr="004779CD">
        <w:rPr>
          <w:rFonts w:eastAsia="Calibri"/>
          <w:b/>
          <w:sz w:val="28"/>
          <w:szCs w:val="28"/>
        </w:rPr>
        <w:t xml:space="preserve">к </w:t>
      </w:r>
      <w:r w:rsidRPr="00524375">
        <w:rPr>
          <w:rFonts w:eastAsia="Calibri"/>
          <w:b/>
          <w:sz w:val="28"/>
          <w:szCs w:val="28"/>
        </w:rPr>
        <w:t>зачету</w:t>
      </w:r>
    </w:p>
    <w:p w14:paraId="2924AEDB" w14:textId="77777777" w:rsidR="00524375" w:rsidRPr="00524375" w:rsidRDefault="00524375" w:rsidP="00524375">
      <w:pPr>
        <w:widowControl/>
        <w:tabs>
          <w:tab w:val="left" w:pos="1134"/>
        </w:tabs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14:paraId="7F54D734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Основные проблемы учения о преступлении.</w:t>
      </w:r>
    </w:p>
    <w:p w14:paraId="74D0E950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Перспективы развития уголовного права.</w:t>
      </w:r>
    </w:p>
    <w:p w14:paraId="0D9392F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виды толкования уголовного законодательства РФ.</w:t>
      </w:r>
    </w:p>
    <w:p w14:paraId="717A76D4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сущность преступления в российском уголовном праве.</w:t>
      </w:r>
    </w:p>
    <w:p w14:paraId="022DA672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сущность уголовной ответственности.</w:t>
      </w:r>
    </w:p>
    <w:p w14:paraId="2C57079B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Основные проблемы учения о преступлении.</w:t>
      </w:r>
    </w:p>
    <w:p w14:paraId="21CB94E3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Классификация преступлений и ее значение.</w:t>
      </w:r>
    </w:p>
    <w:p w14:paraId="1A1B8F33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значение состава преступления, его элементы и признаки.</w:t>
      </w:r>
    </w:p>
    <w:p w14:paraId="2E515CFD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Виды составов преступлений.</w:t>
      </w:r>
    </w:p>
    <w:p w14:paraId="02691800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Объект преступлении: понятие, классификация, значение для применения закона.</w:t>
      </w:r>
    </w:p>
    <w:p w14:paraId="14CA736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Понятие и значение объективной стороны состава преступления. </w:t>
      </w:r>
    </w:p>
    <w:p w14:paraId="35BAAB49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Понятие, признаки и значение субъективной стороны состава преступления.</w:t>
      </w:r>
    </w:p>
    <w:p w14:paraId="5549F113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Понятие, признаки и значение субъекта состава преступления. </w:t>
      </w:r>
    </w:p>
    <w:p w14:paraId="10B252C7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соучастия  в  российском  уголовном  праве.</w:t>
      </w:r>
    </w:p>
    <w:p w14:paraId="241E4CD9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Понятие, признаки и значение соучастия в преступлении.</w:t>
      </w:r>
    </w:p>
    <w:p w14:paraId="3976EF48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 Понятие, виды и значение стадий совершения преступления. </w:t>
      </w:r>
    </w:p>
    <w:p w14:paraId="22C67DD1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Понятие, признаки и значение добровольного отказа от преступления. </w:t>
      </w:r>
    </w:p>
    <w:p w14:paraId="33D57A8A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Основания и пределы уголовной ответственности соучастников.</w:t>
      </w:r>
    </w:p>
    <w:p w14:paraId="1FCAE224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Уголовно-правовые проблемы множественности преступлений.</w:t>
      </w:r>
    </w:p>
    <w:p w14:paraId="45524908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Уголовная ответственность и наказание.</w:t>
      </w:r>
    </w:p>
    <w:p w14:paraId="00C89C77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освобождения от уголовной ответственности и наказания</w:t>
      </w:r>
    </w:p>
    <w:p w14:paraId="2B272B91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виды освобождения от уголовной ответственности.</w:t>
      </w:r>
    </w:p>
    <w:p w14:paraId="18BF253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личности.</w:t>
      </w:r>
    </w:p>
    <w:p w14:paraId="780324D3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в сфере экономики.</w:t>
      </w:r>
    </w:p>
    <w:p w14:paraId="2BA8AE8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013D04B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Система преступлений против личности и проблемы ее совершенствования.</w:t>
      </w:r>
    </w:p>
    <w:p w14:paraId="1CEA510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об ответственности против жизни и здоровья личности.</w:t>
      </w:r>
    </w:p>
    <w:p w14:paraId="6434032A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половых преступлениях.</w:t>
      </w:r>
    </w:p>
    <w:p w14:paraId="3A6A4461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Общая характеристика половых преступлений против личности.</w:t>
      </w:r>
    </w:p>
    <w:p w14:paraId="19CDFE6E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хищениях.</w:t>
      </w:r>
    </w:p>
    <w:p w14:paraId="0EA6767D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преступлениях в сфере экономической деятельности.</w:t>
      </w:r>
    </w:p>
    <w:p w14:paraId="231C598D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Общая характеристика экономических преступлений.  </w:t>
      </w:r>
    </w:p>
    <w:p w14:paraId="11A43C49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преступлений, относящихся к  терроризму.</w:t>
      </w:r>
    </w:p>
    <w:p w14:paraId="64A969A0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lastRenderedPageBreak/>
        <w:t>Проблемы применения норм преступлений, связанных с незаконным оборотом наркотических средств, психотропных веществ или их аналогов.</w:t>
      </w:r>
    </w:p>
    <w:p w14:paraId="5246064D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преступлений, связанных с незаконным оборотом оружия.</w:t>
      </w:r>
    </w:p>
    <w:p w14:paraId="636C9661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об экологических преступлениях.</w:t>
      </w:r>
    </w:p>
    <w:p w14:paraId="57D20258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должностных преступлениях.</w:t>
      </w:r>
    </w:p>
    <w:p w14:paraId="2EB0D48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50D5B108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Общая характеристика преступлений против общественной безопасности и общественного порядка. </w:t>
      </w:r>
    </w:p>
    <w:p w14:paraId="30F55B0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Виды преступлений против общественной безопасности и общественного порядка.</w:t>
      </w:r>
    </w:p>
    <w:p w14:paraId="4FB1A3D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государственной власти.</w:t>
      </w:r>
    </w:p>
    <w:p w14:paraId="6CE80EFA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Виды преступлений против государственной власти. </w:t>
      </w:r>
    </w:p>
    <w:p w14:paraId="1D9387C8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общая характеристика преступлений против военной службы.</w:t>
      </w:r>
    </w:p>
    <w:p w14:paraId="3FCCB9FB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Общая характеристика преступлений против мира и безопасности человечества.</w:t>
      </w:r>
    </w:p>
    <w:p w14:paraId="2C07A01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bCs/>
          <w:iCs/>
          <w:spacing w:val="-4"/>
          <w:sz w:val="28"/>
          <w:szCs w:val="28"/>
        </w:rPr>
        <w:t>Современные тенденции развития российского уголовного процесса.</w:t>
      </w:r>
    </w:p>
    <w:p w14:paraId="3B96286A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в пространстве.</w:t>
      </w:r>
    </w:p>
    <w:p w14:paraId="0A9946F9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по кругу лиц.</w:t>
      </w:r>
    </w:p>
    <w:p w14:paraId="3544777A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во времени.</w:t>
      </w:r>
    </w:p>
    <w:p w14:paraId="1EA865EE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назначения уголовного судопроизводства.</w:t>
      </w:r>
    </w:p>
    <w:p w14:paraId="3D5B1070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pacing w:val="-4"/>
          <w:sz w:val="28"/>
          <w:szCs w:val="28"/>
        </w:rPr>
        <w:t>Актуальные проблемы</w:t>
      </w:r>
      <w:r w:rsidRPr="00524375">
        <w:rPr>
          <w:rFonts w:ascii="Calibri" w:eastAsia="Calibri" w:hAnsi="Calibri"/>
          <w:spacing w:val="-4"/>
        </w:rPr>
        <w:t xml:space="preserve"> </w:t>
      </w:r>
      <w:r w:rsidRPr="00524375">
        <w:rPr>
          <w:rFonts w:eastAsia="Calibri"/>
          <w:iCs/>
          <w:spacing w:val="-4"/>
          <w:sz w:val="28"/>
          <w:szCs w:val="28"/>
        </w:rPr>
        <w:t>разумного срока уголовного судопроизводства.</w:t>
      </w:r>
    </w:p>
    <w:p w14:paraId="69925C4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</w:t>
      </w:r>
      <w:r w:rsidRPr="00524375">
        <w:rPr>
          <w:rFonts w:ascii="Calibri" w:eastAsia="Calibri" w:hAnsi="Calibri"/>
        </w:rPr>
        <w:t xml:space="preserve"> </w:t>
      </w:r>
      <w:r w:rsidRPr="00524375">
        <w:rPr>
          <w:rFonts w:eastAsia="Calibri"/>
          <w:iCs/>
          <w:sz w:val="28"/>
          <w:szCs w:val="28"/>
        </w:rPr>
        <w:t>презумпции невиновности.</w:t>
      </w:r>
    </w:p>
    <w:p w14:paraId="2EEABD20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уголовного преследования.</w:t>
      </w:r>
    </w:p>
    <w:p w14:paraId="7E664A57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публичного обвинения.</w:t>
      </w:r>
    </w:p>
    <w:p w14:paraId="353EE404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частно-публичного обвинения.</w:t>
      </w:r>
    </w:p>
    <w:p w14:paraId="48BE436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частного обвинения.</w:t>
      </w:r>
    </w:p>
    <w:p w14:paraId="462C60A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Правовой статус участников уголовного судопроизводства со стороны обвинения.</w:t>
      </w:r>
    </w:p>
    <w:p w14:paraId="2F846373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Правовой статус участников уголовного судопроизводства со стороны защиты.</w:t>
      </w:r>
    </w:p>
    <w:p w14:paraId="04E7ED86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Правовой статус иных участников уголовного судопроизводства.</w:t>
      </w:r>
    </w:p>
    <w:p w14:paraId="508FF0BD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стадии возбуждения уголовного дела.</w:t>
      </w:r>
    </w:p>
    <w:p w14:paraId="3D13724E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Органы и должностные лица, имеющие право возбуждать уголовные дела.</w:t>
      </w:r>
    </w:p>
    <w:p w14:paraId="2E14E68A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Поводы и основание для возбуждения уголовного дела</w:t>
      </w:r>
    </w:p>
    <w:p w14:paraId="72DD0B8E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Порядок возбуждения уголовного дела.</w:t>
      </w:r>
    </w:p>
    <w:p w14:paraId="2511351B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Особенности предварительного следствия по транспортным преступлениям. </w:t>
      </w:r>
    </w:p>
    <w:p w14:paraId="202F23A7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lastRenderedPageBreak/>
        <w:t>Специализированные органы на транспорте Следственного комитета Российской Федерации.</w:t>
      </w:r>
    </w:p>
    <w:p w14:paraId="4B778526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Особенности производства следственных действий на транспорте.</w:t>
      </w:r>
    </w:p>
    <w:p w14:paraId="433BE79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Актуальные проблемы общих условий судебного разбирательства. </w:t>
      </w:r>
    </w:p>
    <w:p w14:paraId="6C3024BB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судебного следствия</w:t>
      </w:r>
      <w:r w:rsidRPr="00524375">
        <w:rPr>
          <w:rFonts w:eastAsia="Calibri"/>
          <w:bCs/>
          <w:noProof/>
          <w:sz w:val="24"/>
          <w:szCs w:val="24"/>
        </w:rPr>
        <w:t xml:space="preserve"> </w:t>
      </w:r>
      <w:r w:rsidRPr="00524375">
        <w:rPr>
          <w:rFonts w:eastAsia="Calibri"/>
          <w:bCs/>
          <w:iCs/>
          <w:sz w:val="28"/>
          <w:szCs w:val="28"/>
        </w:rPr>
        <w:t>в суде первой инстанции</w:t>
      </w:r>
      <w:r w:rsidRPr="00524375">
        <w:rPr>
          <w:rFonts w:eastAsia="Calibri"/>
          <w:iCs/>
          <w:sz w:val="28"/>
          <w:szCs w:val="28"/>
        </w:rPr>
        <w:t>.</w:t>
      </w:r>
    </w:p>
    <w:p w14:paraId="0DFDFF77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постановления приговора</w:t>
      </w:r>
      <w:r w:rsidRPr="00524375">
        <w:rPr>
          <w:rFonts w:eastAsia="Calibri"/>
          <w:bCs/>
          <w:noProof/>
          <w:sz w:val="24"/>
          <w:szCs w:val="24"/>
        </w:rPr>
        <w:t xml:space="preserve"> </w:t>
      </w:r>
      <w:r w:rsidRPr="00524375">
        <w:rPr>
          <w:rFonts w:eastAsia="Calibri"/>
          <w:bCs/>
          <w:iCs/>
          <w:sz w:val="28"/>
          <w:szCs w:val="28"/>
        </w:rPr>
        <w:t>в суде первой инстанции</w:t>
      </w:r>
      <w:r w:rsidRPr="00524375">
        <w:rPr>
          <w:rFonts w:eastAsia="Calibri"/>
          <w:iCs/>
          <w:sz w:val="28"/>
          <w:szCs w:val="28"/>
        </w:rPr>
        <w:t>.</w:t>
      </w:r>
    </w:p>
    <w:p w14:paraId="643E3080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особого порядка принятия судебного решения при согласии обвиняемого с предъявленным ему обвинением.</w:t>
      </w:r>
    </w:p>
    <w:p w14:paraId="40D78826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особого порядка принятия судебного решения при заключении досудебного соглашения о сотрудничестве.</w:t>
      </w:r>
    </w:p>
    <w:p w14:paraId="278EF7FE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подсудности уголовных дел мировому судье.</w:t>
      </w:r>
    </w:p>
    <w:p w14:paraId="32CC8B1D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производства по уголовным делам частного обвинения.</w:t>
      </w:r>
    </w:p>
    <w:p w14:paraId="6C01A81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обжалования приговора и постановления мирового судьи.</w:t>
      </w:r>
    </w:p>
    <w:p w14:paraId="169A1196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Особенности проведения предварительного слушания в суде с участием присяжных заседателей.</w:t>
      </w:r>
    </w:p>
    <w:p w14:paraId="2FA166F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Полномочия судьи и присяжных заседателей.</w:t>
      </w:r>
    </w:p>
    <w:p w14:paraId="5DF79912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формирования коллегии присяжных заседателей.</w:t>
      </w:r>
    </w:p>
    <w:p w14:paraId="7EB84018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судебного следствия в суде с участием присяжных заседателей.</w:t>
      </w:r>
    </w:p>
    <w:p w14:paraId="7D7FE2E2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Актуальные проблемы вынесения вердикта и постановления приговора в суде с участием присяжных заседателей. </w:t>
      </w:r>
    </w:p>
    <w:p w14:paraId="2E2FF63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Порядок рассмотрения уголовного дела судом апелляционной инстанции.</w:t>
      </w:r>
    </w:p>
    <w:p w14:paraId="01051DB5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Основания отмены или изменения судебного решения в апелляционном порядке.</w:t>
      </w:r>
    </w:p>
    <w:p w14:paraId="3C51630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Решения, принимаемые судом апелляционной инстанции. </w:t>
      </w:r>
    </w:p>
    <w:p w14:paraId="1951A957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производства в суде кассационной инстанции.</w:t>
      </w:r>
    </w:p>
    <w:p w14:paraId="6CDA35B6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производства в суде надзорной инстанции.</w:t>
      </w:r>
    </w:p>
    <w:p w14:paraId="0A4B6F6C" w14:textId="77777777"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возобновления производства по уголовному делу ввиду новых или вновь открывшихся обстоятельств.</w:t>
      </w:r>
    </w:p>
    <w:p w14:paraId="0AFE2FB8" w14:textId="77777777" w:rsidR="00524375" w:rsidRPr="00524375" w:rsidRDefault="00524375" w:rsidP="00524375">
      <w:pPr>
        <w:widowControl/>
        <w:tabs>
          <w:tab w:val="left" w:pos="1134"/>
        </w:tabs>
        <w:autoSpaceDE/>
        <w:autoSpaceDN/>
        <w:ind w:firstLine="709"/>
        <w:jc w:val="both"/>
        <w:rPr>
          <w:rFonts w:ascii="Calibri" w:eastAsia="Calibri" w:hAnsi="Calibri"/>
        </w:rPr>
      </w:pPr>
    </w:p>
    <w:p w14:paraId="54796322" w14:textId="77777777" w:rsidR="0023319B" w:rsidRDefault="0023319B">
      <w:pPr>
        <w:rPr>
          <w:sz w:val="28"/>
          <w:szCs w:val="28"/>
        </w:rPr>
      </w:pPr>
    </w:p>
    <w:p w14:paraId="4FDCFF85" w14:textId="77777777" w:rsidR="00524375" w:rsidRDefault="00524375">
      <w:pPr>
        <w:rPr>
          <w:sz w:val="28"/>
          <w:szCs w:val="28"/>
        </w:rPr>
      </w:pPr>
      <w:r>
        <w:br w:type="page"/>
      </w:r>
    </w:p>
    <w:p w14:paraId="6C4367EE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0F714C3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1E46E0E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435EFA9C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2DC0FF40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600D0627" w14:textId="77777777" w:rsidR="00A267F9" w:rsidRDefault="00A267F9">
      <w:pPr>
        <w:pStyle w:val="a3"/>
        <w:spacing w:before="11"/>
        <w:rPr>
          <w:b/>
          <w:sz w:val="22"/>
        </w:rPr>
      </w:pPr>
    </w:p>
    <w:p w14:paraId="6EB1E014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36D43F97" w14:textId="77777777" w:rsidTr="00493B84">
        <w:trPr>
          <w:trHeight w:val="633"/>
        </w:trPr>
        <w:tc>
          <w:tcPr>
            <w:tcW w:w="3154" w:type="dxa"/>
          </w:tcPr>
          <w:p w14:paraId="38EE5E45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2BA35269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39D5BB7" w14:textId="77777777"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14:paraId="391E1B66" w14:textId="77777777" w:rsidTr="00493B84">
        <w:trPr>
          <w:trHeight w:val="319"/>
        </w:trPr>
        <w:tc>
          <w:tcPr>
            <w:tcW w:w="3154" w:type="dxa"/>
          </w:tcPr>
          <w:p w14:paraId="079861F8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7BF31FF6" w14:textId="77777777" w:rsidR="00A267F9" w:rsidRPr="0045456C" w:rsidRDefault="0023319B" w:rsidP="00B4335E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B4335E">
              <w:rPr>
                <w:i/>
              </w:rPr>
              <w:t>МУ</w:t>
            </w:r>
            <w:r w:rsidRPr="0045456C">
              <w:rPr>
                <w:i/>
              </w:rPr>
              <w:t>-111</w:t>
            </w:r>
          </w:p>
        </w:tc>
      </w:tr>
      <w:tr w:rsidR="00A267F9" w14:paraId="1D18FA5D" w14:textId="77777777" w:rsidTr="00493B84">
        <w:trPr>
          <w:trHeight w:val="952"/>
        </w:trPr>
        <w:tc>
          <w:tcPr>
            <w:tcW w:w="3154" w:type="dxa"/>
          </w:tcPr>
          <w:p w14:paraId="530DFBC9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5A811ECA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2687243E" w14:textId="77777777"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14:paraId="298637D7" w14:textId="77777777"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14:paraId="516C9AC2" w14:textId="77777777" w:rsidTr="00493B84">
        <w:trPr>
          <w:trHeight w:val="633"/>
        </w:trPr>
        <w:tc>
          <w:tcPr>
            <w:tcW w:w="3154" w:type="dxa"/>
          </w:tcPr>
          <w:p w14:paraId="624991A8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3B65CBFF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4B4FDA0A" w14:textId="77777777" w:rsidR="00A267F9" w:rsidRDefault="008A574B" w:rsidP="00B4335E">
            <w:pPr>
              <w:pStyle w:val="TableParagraph"/>
              <w:spacing w:before="15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  <w:r w:rsidR="00B4335E">
              <w:rPr>
                <w:sz w:val="24"/>
              </w:rPr>
              <w:t>4</w:t>
            </w:r>
            <w:r>
              <w:rPr>
                <w:sz w:val="24"/>
              </w:rPr>
              <w:t>.01 Юриспруденция</w:t>
            </w:r>
          </w:p>
        </w:tc>
      </w:tr>
      <w:tr w:rsidR="00A267F9" w14:paraId="7BCD6653" w14:textId="77777777" w:rsidTr="00493B84">
        <w:trPr>
          <w:trHeight w:val="635"/>
        </w:trPr>
        <w:tc>
          <w:tcPr>
            <w:tcW w:w="3154" w:type="dxa"/>
          </w:tcPr>
          <w:p w14:paraId="4E79D83F" w14:textId="77777777" w:rsidR="00A267F9" w:rsidRDefault="00B433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Магистерская программа </w:t>
            </w:r>
          </w:p>
        </w:tc>
        <w:tc>
          <w:tcPr>
            <w:tcW w:w="6087" w:type="dxa"/>
          </w:tcPr>
          <w:p w14:paraId="3369C593" w14:textId="77777777" w:rsidR="00A267F9" w:rsidRDefault="00B4335E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B4335E">
              <w:rPr>
                <w:sz w:val="24"/>
              </w:rPr>
              <w:t>Актуальные вопросы уголовного права, уголовного процесса и криминалистики</w:t>
            </w:r>
          </w:p>
        </w:tc>
      </w:tr>
      <w:tr w:rsidR="00A267F9" w14:paraId="4727F671" w14:textId="77777777" w:rsidTr="00493B84">
        <w:trPr>
          <w:trHeight w:val="316"/>
        </w:trPr>
        <w:tc>
          <w:tcPr>
            <w:tcW w:w="3154" w:type="dxa"/>
          </w:tcPr>
          <w:p w14:paraId="11DB7AC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2C014104" w14:textId="77777777" w:rsidR="00A267F9" w:rsidRDefault="008A574B" w:rsidP="00565309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 w:rsidR="0023319B">
              <w:rPr>
                <w:sz w:val="24"/>
              </w:rPr>
              <w:t xml:space="preserve"> практика</w:t>
            </w:r>
          </w:p>
        </w:tc>
      </w:tr>
      <w:tr w:rsidR="00A267F9" w14:paraId="06A90F1D" w14:textId="77777777" w:rsidTr="00493B84">
        <w:trPr>
          <w:trHeight w:val="318"/>
        </w:trPr>
        <w:tc>
          <w:tcPr>
            <w:tcW w:w="3154" w:type="dxa"/>
          </w:tcPr>
          <w:p w14:paraId="63262B8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4A61027B" w14:textId="77777777"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14:paraId="3593F3B8" w14:textId="77777777" w:rsidTr="00493B84">
        <w:trPr>
          <w:trHeight w:val="292"/>
        </w:trPr>
        <w:tc>
          <w:tcPr>
            <w:tcW w:w="9241" w:type="dxa"/>
            <w:gridSpan w:val="2"/>
          </w:tcPr>
          <w:p w14:paraId="1EB58AA1" w14:textId="77777777" w:rsidR="00A267F9" w:rsidRDefault="00652711" w:rsidP="00524375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</w:p>
        </w:tc>
      </w:tr>
      <w:tr w:rsidR="00D82C70" w14:paraId="0DA09E17" w14:textId="77777777" w:rsidTr="00493B84">
        <w:trPr>
          <w:trHeight w:val="292"/>
        </w:trPr>
        <w:tc>
          <w:tcPr>
            <w:tcW w:w="9241" w:type="dxa"/>
            <w:gridSpan w:val="2"/>
          </w:tcPr>
          <w:p w14:paraId="07F99A49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0A562AF2" w14:textId="77777777" w:rsidTr="00D82C70">
        <w:trPr>
          <w:trHeight w:val="20"/>
        </w:trPr>
        <w:tc>
          <w:tcPr>
            <w:tcW w:w="9241" w:type="dxa"/>
            <w:gridSpan w:val="2"/>
          </w:tcPr>
          <w:p w14:paraId="65DD9B57" w14:textId="77777777"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14:paraId="019D4149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14:paraId="08DE377C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14:paraId="500338BC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14:paraId="26A45B7A" w14:textId="77777777"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14:paraId="4FDCC5FD" w14:textId="77777777" w:rsidTr="00D82C70">
        <w:trPr>
          <w:trHeight w:val="20"/>
        </w:trPr>
        <w:tc>
          <w:tcPr>
            <w:tcW w:w="9241" w:type="dxa"/>
            <w:gridSpan w:val="2"/>
          </w:tcPr>
          <w:p w14:paraId="26BA2E4D" w14:textId="77777777"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14:paraId="4F8F1624" w14:textId="77777777"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14:paraId="3F513892" w14:textId="77777777"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14:paraId="29F41C8C" w14:textId="77777777"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14:paraId="14F7E2BB" w14:textId="77777777"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14:paraId="04C1D86F" w14:textId="77777777"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14:paraId="1B98CC27" w14:textId="77777777"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63A4623C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34598425" w14:textId="77777777" w:rsidR="00A267F9" w:rsidRDefault="00A267F9">
      <w:pPr>
        <w:pStyle w:val="a3"/>
        <w:rPr>
          <w:sz w:val="20"/>
        </w:rPr>
      </w:pPr>
    </w:p>
    <w:p w14:paraId="692F4BF1" w14:textId="77777777" w:rsidR="00A267F9" w:rsidRDefault="00A267F9">
      <w:pPr>
        <w:pStyle w:val="a3"/>
        <w:rPr>
          <w:sz w:val="20"/>
        </w:rPr>
      </w:pPr>
    </w:p>
    <w:p w14:paraId="568147D9" w14:textId="77777777" w:rsidR="00A267F9" w:rsidRDefault="00000000">
      <w:pPr>
        <w:pStyle w:val="a3"/>
        <w:spacing w:before="10"/>
        <w:rPr>
          <w:sz w:val="10"/>
        </w:rPr>
      </w:pPr>
      <w:r>
        <w:pict w14:anchorId="6769E6CB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64C7F18E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38AE2DDE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0D2275EB" w14:textId="77777777"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14:paraId="7E126AC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F75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17F7A4C9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12797C0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5996E2B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0C83803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BDA5E47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735F8848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32FC1EB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14:paraId="0D33A70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119C83A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3C726C2A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0CAC5556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4A52820F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5A544DAB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6F347940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4B1C8E2D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21872CFD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59D5BB2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777AA24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36B19F4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5738DDF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3BA8C8F1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5531887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684CF892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524375">
        <w:rPr>
          <w:rFonts w:eastAsia="Calibri"/>
          <w:sz w:val="28"/>
        </w:rPr>
        <w:t>5</w:t>
      </w:r>
    </w:p>
    <w:p w14:paraId="6BE8F3D8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62DF9A81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37373C94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5D1BBAF4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0BDFFD88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2B0E0A8C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54B762EB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1A5AA4D8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2272B349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2554AF91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3CE0226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7D954D6A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63C7E6F3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06F3D378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5304583E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68BA1E75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472F69D6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00FC0FD6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60F83718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2D666FF5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4DE1DFF2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6D592DDD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11416728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151F245A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66C25AB9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491F56BB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524F1082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3E393D7E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4F8E4B0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4B6A0C94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3E715F09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E57AADF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2442F53F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37C72942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6E86ABBB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3F770E35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5568E909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34C0D9AF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656BD920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7575968F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3B1DE868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0569AC63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4206F3D5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1FC5101E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66080B4A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5DA5FF2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443A833D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13C98F9B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3696FBFC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594DC1BF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170E9601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259D6122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14:paraId="21A414BE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2EBC8A20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120BC3F2" w14:textId="77777777" w:rsidR="00077C3E" w:rsidRDefault="00077C3E">
      <w:pPr>
        <w:rPr>
          <w:sz w:val="28"/>
          <w:szCs w:val="28"/>
        </w:rPr>
      </w:pPr>
      <w:r>
        <w:br w:type="page"/>
      </w:r>
    </w:p>
    <w:p w14:paraId="6868D7FA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19329373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444F5F65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340B7D82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7DAB992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5D0DEB9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7A1483C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00106DC5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114FD771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3F08B85C" w14:textId="77777777"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14:paraId="4C956C4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1B685CD4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0DBDF3DB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B40CCEF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1002C565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555B5BA1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2CD70236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4F7C9979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7A189836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1C9446FB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7F73CC4B" w14:textId="77777777" w:rsidR="00A267F9" w:rsidRPr="00FC5A08" w:rsidRDefault="00A267F9" w:rsidP="000B12BF">
      <w:pPr>
        <w:pStyle w:val="a3"/>
        <w:spacing w:line="276" w:lineRule="auto"/>
      </w:pPr>
    </w:p>
    <w:p w14:paraId="18715388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4E9E4CAA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5419246F" w14:textId="77777777" w:rsidTr="00333770">
        <w:tc>
          <w:tcPr>
            <w:tcW w:w="2850" w:type="dxa"/>
          </w:tcPr>
          <w:p w14:paraId="29F001CE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778212D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099041AC" w14:textId="77777777" w:rsidTr="00333770">
        <w:tc>
          <w:tcPr>
            <w:tcW w:w="2850" w:type="dxa"/>
          </w:tcPr>
          <w:p w14:paraId="639792D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48E9E84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5080A3EA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721D23B8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62F0304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378AC98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378221C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1656B1FA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16F67FC4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4221EEAE" w14:textId="77777777" w:rsidTr="00333770">
        <w:tc>
          <w:tcPr>
            <w:tcW w:w="2850" w:type="dxa"/>
          </w:tcPr>
          <w:p w14:paraId="7E34113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2E84570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260A588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75F29EA9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77BDAA0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42300F3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48C511B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4B44832D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1E6920F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69F6265B" w14:textId="77777777" w:rsidTr="00333770">
        <w:tc>
          <w:tcPr>
            <w:tcW w:w="2850" w:type="dxa"/>
          </w:tcPr>
          <w:p w14:paraId="2ACE725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4D05210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58D04CC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4A1E3C38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04F9069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607E84F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70BF6406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796D1CC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2D2DD368" w14:textId="77777777" w:rsidTr="00333770">
        <w:tc>
          <w:tcPr>
            <w:tcW w:w="2850" w:type="dxa"/>
          </w:tcPr>
          <w:p w14:paraId="232A5B1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2AF50F4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165881D9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5C7A0DE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5173B62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5F20A7B9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02CF5A13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67BF33A9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521414AC" w14:textId="77777777"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8064" w14:textId="77777777" w:rsidR="00F13507" w:rsidRDefault="00F13507">
      <w:r>
        <w:separator/>
      </w:r>
    </w:p>
  </w:endnote>
  <w:endnote w:type="continuationSeparator" w:id="0">
    <w:p w14:paraId="2A9E58E3" w14:textId="77777777" w:rsidR="00F13507" w:rsidRDefault="00F1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F24B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AB9278" wp14:editId="611EE28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451B1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24375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B927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78E451B1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524375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2287" w14:textId="77777777" w:rsidR="00F13507" w:rsidRDefault="00F13507">
      <w:r>
        <w:separator/>
      </w:r>
    </w:p>
  </w:footnote>
  <w:footnote w:type="continuationSeparator" w:id="0">
    <w:p w14:paraId="62545AFF" w14:textId="77777777" w:rsidR="00F13507" w:rsidRDefault="00F1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4FF2C2C"/>
    <w:multiLevelType w:val="hybridMultilevel"/>
    <w:tmpl w:val="C032F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44744">
    <w:abstractNumId w:val="1"/>
  </w:num>
  <w:num w:numId="2" w16cid:durableId="1007443388">
    <w:abstractNumId w:val="5"/>
  </w:num>
  <w:num w:numId="3" w16cid:durableId="2026202167">
    <w:abstractNumId w:val="2"/>
  </w:num>
  <w:num w:numId="4" w16cid:durableId="888999007">
    <w:abstractNumId w:val="7"/>
  </w:num>
  <w:num w:numId="5" w16cid:durableId="1301501776">
    <w:abstractNumId w:val="4"/>
  </w:num>
  <w:num w:numId="6" w16cid:durableId="2108231093">
    <w:abstractNumId w:val="12"/>
  </w:num>
  <w:num w:numId="7" w16cid:durableId="1554777843">
    <w:abstractNumId w:val="13"/>
  </w:num>
  <w:num w:numId="8" w16cid:durableId="1516648941">
    <w:abstractNumId w:val="8"/>
  </w:num>
  <w:num w:numId="9" w16cid:durableId="421806588">
    <w:abstractNumId w:val="6"/>
  </w:num>
  <w:num w:numId="10" w16cid:durableId="1698577266">
    <w:abstractNumId w:val="14"/>
  </w:num>
  <w:num w:numId="11" w16cid:durableId="802846188">
    <w:abstractNumId w:val="9"/>
  </w:num>
  <w:num w:numId="12" w16cid:durableId="1522352435">
    <w:abstractNumId w:val="10"/>
  </w:num>
  <w:num w:numId="13" w16cid:durableId="1521429300">
    <w:abstractNumId w:val="11"/>
  </w:num>
  <w:num w:numId="14" w16cid:durableId="1502088486">
    <w:abstractNumId w:val="0"/>
  </w:num>
  <w:num w:numId="15" w16cid:durableId="136261701">
    <w:abstractNumId w:val="15"/>
  </w:num>
  <w:num w:numId="16" w16cid:durableId="1742562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1F0415"/>
    <w:rsid w:val="00200225"/>
    <w:rsid w:val="0023319B"/>
    <w:rsid w:val="00236FEE"/>
    <w:rsid w:val="00333770"/>
    <w:rsid w:val="00380001"/>
    <w:rsid w:val="00385C8A"/>
    <w:rsid w:val="00394CA5"/>
    <w:rsid w:val="003C5D12"/>
    <w:rsid w:val="0045456C"/>
    <w:rsid w:val="00493B84"/>
    <w:rsid w:val="004A3C17"/>
    <w:rsid w:val="004B46C4"/>
    <w:rsid w:val="004B4D76"/>
    <w:rsid w:val="004F0845"/>
    <w:rsid w:val="004F19E5"/>
    <w:rsid w:val="00524375"/>
    <w:rsid w:val="00565309"/>
    <w:rsid w:val="005A3A19"/>
    <w:rsid w:val="00611BB8"/>
    <w:rsid w:val="00652711"/>
    <w:rsid w:val="007134F3"/>
    <w:rsid w:val="00740793"/>
    <w:rsid w:val="007710F1"/>
    <w:rsid w:val="007933E4"/>
    <w:rsid w:val="007C2934"/>
    <w:rsid w:val="008541EB"/>
    <w:rsid w:val="008A574B"/>
    <w:rsid w:val="00962945"/>
    <w:rsid w:val="00991547"/>
    <w:rsid w:val="00A0269C"/>
    <w:rsid w:val="00A267F9"/>
    <w:rsid w:val="00A43140"/>
    <w:rsid w:val="00A95678"/>
    <w:rsid w:val="00AA173F"/>
    <w:rsid w:val="00AF4B1B"/>
    <w:rsid w:val="00B257B7"/>
    <w:rsid w:val="00B40F21"/>
    <w:rsid w:val="00B4335E"/>
    <w:rsid w:val="00BB15C8"/>
    <w:rsid w:val="00BD6AB7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E36A8C"/>
    <w:rsid w:val="00E60E92"/>
    <w:rsid w:val="00EC31D6"/>
    <w:rsid w:val="00F13507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465DDB5"/>
  <w15:docId w15:val="{A2BBD222-2CC2-4A76-A5D5-7015FB5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4C64F-0162-4EFF-B4D4-DBF5190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5</cp:revision>
  <dcterms:created xsi:type="dcterms:W3CDTF">2024-04-23T14:09:00Z</dcterms:created>
  <dcterms:modified xsi:type="dcterms:W3CDTF">2026-03-22T08:13:00Z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