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49710A" w:rsidRPr="0049710A" w:rsidRDefault="0023319B" w:rsidP="0049710A">
      <w:pPr>
        <w:jc w:val="center"/>
        <w:rPr>
          <w:b/>
          <w:iCs/>
          <w:sz w:val="24"/>
          <w:szCs w:val="24"/>
        </w:rPr>
      </w:pPr>
      <w:r>
        <w:br w:type="page"/>
      </w:r>
      <w:r w:rsidR="0049710A" w:rsidRPr="0049710A">
        <w:rPr>
          <w:b/>
          <w:iCs/>
          <w:sz w:val="24"/>
          <w:szCs w:val="24"/>
        </w:rPr>
        <w:lastRenderedPageBreak/>
        <w:t>Примерный перечень вопросов на зачет</w:t>
      </w:r>
    </w:p>
    <w:p w:rsidR="0049710A" w:rsidRPr="0049710A" w:rsidRDefault="0049710A" w:rsidP="0049710A">
      <w:pPr>
        <w:widowControl/>
        <w:tabs>
          <w:tab w:val="left" w:pos="1134"/>
          <w:tab w:val="left" w:pos="1418"/>
        </w:tabs>
        <w:autoSpaceDE/>
        <w:autoSpaceDN/>
        <w:ind w:firstLine="709"/>
        <w:jc w:val="center"/>
        <w:rPr>
          <w:b/>
          <w:iCs/>
          <w:sz w:val="24"/>
          <w:szCs w:val="24"/>
        </w:rPr>
      </w:pP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уголовного права как отрасли права и науки. Предмет и метод уголовного права.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Структура уголовно-правовой нормы. Понятие и виды диспозиций и санкций.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Принципы уголовного права, их понятие и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Действие уголовного закона во времени. </w:t>
      </w:r>
      <w:r w:rsidRPr="0049710A">
        <w:rPr>
          <w:sz w:val="24"/>
          <w:szCs w:val="24"/>
        </w:rPr>
        <w:t>Действие уголовного закона в пространстве. Выдача лиц, совершивших преступление.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признаки преступления. Малозначительность деяния. Категоризация преступлений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Понятие, основания и условия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состава преступления, его признаки и элементы. Виды составов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49710A">
        <w:rPr>
          <w:sz w:val="24"/>
          <w:szCs w:val="24"/>
        </w:rPr>
        <w:t>Потерпевший.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признаки и значение объективной стороны преступления.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Специальный субъект преступления и его значение. Субъект преступления и личность преступника.  </w:t>
      </w:r>
      <w:r w:rsidRPr="0049710A">
        <w:rPr>
          <w:rFonts w:eastAsia="Calibri"/>
          <w:sz w:val="24"/>
          <w:szCs w:val="24"/>
        </w:rPr>
        <w:t>Дискуссионные вопросы об уголовной ответственности юридических лиц.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49710A">
        <w:rPr>
          <w:rFonts w:eastAsia="Calibri"/>
          <w:sz w:val="24"/>
          <w:szCs w:val="24"/>
        </w:rPr>
        <w:t xml:space="preserve"> Последствия признания лица невменяемым.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неосторожности. Легкомыслие, его отличие от косвенного умысла и небрежности.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 </w:t>
      </w:r>
      <w:r w:rsidRPr="0049710A">
        <w:rPr>
          <w:sz w:val="24"/>
          <w:szCs w:val="24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49710A">
        <w:rPr>
          <w:rFonts w:eastAsia="Calibri"/>
          <w:sz w:val="24"/>
          <w:szCs w:val="24"/>
        </w:rPr>
        <w:t xml:space="preserve">Его отличие от деятельного раскаяния.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система обстоятельств, исключающих преступность деяния. Их уголовно-правовое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 соучастия в преступлении. Объективные и субъективные признаки соучастия.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Формы соучастия, объективные и субъективные признаки соучастия. Критерии классификации.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и виды множественности преступлений. </w:t>
      </w:r>
      <w:r w:rsidRPr="0049710A">
        <w:rPr>
          <w:sz w:val="24"/>
          <w:szCs w:val="24"/>
        </w:rPr>
        <w:t>Ее значение для квалификации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Единое преступление и его отличие от множественности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признаки наказания. Виды наказаний.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Штраф как вид наказания. Порядок применения.  Последствия злостного уклонения от уплаты штрафа.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Ограничение по военной службе: понятие,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Принудительные работы: понятие, содержание, порядок назначения.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Ограничение свободы: понятие, содержание, порядок назначения,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Лишение свободы: понятие, виды,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освобождения от отбывания наказания. Система видов освобождения от отбывания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Условно-досрочное освобождение от отбывания наказания: виды, основания, последствия.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виды принудительных мер воспитательного воздействия для несовершеннолетних, их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Система и виды принудительных мер медицинского характера. Их отличие от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Понятие и содержание амнистии и помилования. Правовые последствия этих актов.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Судебный штраф: понятие, содержание, соотношение со ст. 76</w:t>
      </w:r>
      <w:r w:rsidRPr="0049710A">
        <w:rPr>
          <w:sz w:val="24"/>
          <w:szCs w:val="24"/>
          <w:vertAlign w:val="superscript"/>
        </w:rPr>
        <w:t>2</w:t>
      </w:r>
      <w:r w:rsidRPr="0049710A">
        <w:rPr>
          <w:sz w:val="24"/>
          <w:szCs w:val="24"/>
        </w:rPr>
        <w:t xml:space="preserve"> УК РФ.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Уголовно-процессуальное право.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Источники уголовного-процесса.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Характеристика стадий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Связь принципов уголовного процесса с общепризнанными международными правовыми аспектами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классификация субъектов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обвинения,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защиты,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Процесс доказывания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Значение принципа состязательности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Виды (формы)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Защита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процессуального принуждения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пресечения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уголовно-процессуального права с другими отраслями права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Судебное разбирательство – центральная стадия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– субъект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Гражданский иск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значение и роль сроков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Место и роль иных участников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Свидетель – иной участник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Независимость судей.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Гласность судебного разбирательства.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Язык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Состязательность и равноправие сторон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Уважение чести и достоинства личности, охрана прав и свобод человека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Неприкосновенность личности.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Неприкосновенность жилища.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Тайна переписки, телефонных переговоров, почтовых, телеграфных и иных сообщений.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Обеспечение подозреваемому, обвиняемому права на защиту.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Свобода оценки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участников уголовного судопроизводства, их виды и классификация.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как субъект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понятий «эксперта» и «специалиста»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Поводы и основания к возбуждению уголовного дела.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Субъекты и процессуальный порядок проверки сообщения о преступлении.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проведения предварительного расследования: понятие и формы.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дознания в сокращенной форме.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Понятие и классификация следственных действий.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Формы окончания предварительного расследования.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Процессуальный порядок прекращения уголовного дела по реабилитирующим и нереабилитирующим основаниям.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Реабилитация.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Стадия подготовки дела к судебному разбирательству: понятие и общая характеристика. Основания проведения предварительного слушания.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и порядок судебного разбирательства.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Вынесение и провозглашение приговора.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Виды приговоров и их структура.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в суде с участием присяжных заседателей.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апелляционном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кассационном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Вступление приговора в законную силу и обращение его к исполнению. Свойства приговора, вступившего в законную силу.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Разрешение вопросов, связанных с исполнением приговора: подсудность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в порядке надзора: основания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по новым и вновь открывшимся обстоятельствам.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Процессуальные особенности производства по уголовным делам в отношении несовершеннолетних. </w:t>
      </w:r>
    </w:p>
    <w:p w:rsidR="0049710A" w:rsidRPr="0049710A" w:rsidRDefault="0049710A" w:rsidP="0049710A">
      <w:pPr>
        <w:widowControl/>
        <w:autoSpaceDE/>
        <w:autoSpaceDN/>
        <w:spacing w:line="276" w:lineRule="auto"/>
        <w:ind w:left="720"/>
        <w:jc w:val="both"/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50593E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 w:rsidP="0049710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36172C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 w:rsidR="008C1346">
              <w:t>.2025</w:t>
            </w:r>
            <w:bookmarkStart w:id="0" w:name="_GoBack"/>
            <w:bookmarkEnd w:id="0"/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8C1346">
              <w:t>.2025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EE84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3C22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F33D77">
        <w:rPr>
          <w:rFonts w:eastAsia="Calibri"/>
          <w:sz w:val="28"/>
        </w:rPr>
        <w:t>Москва – 202</w:t>
      </w:r>
      <w:r w:rsidR="0049710A">
        <w:rPr>
          <w:rFonts w:eastAsia="Calibri"/>
          <w:sz w:val="28"/>
        </w:rPr>
        <w:t>5</w:t>
      </w: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2C" w:rsidRDefault="0036172C">
      <w:r>
        <w:separator/>
      </w:r>
    </w:p>
  </w:endnote>
  <w:endnote w:type="continuationSeparator" w:id="0">
    <w:p w:rsidR="0036172C" w:rsidRDefault="0036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C1346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8C1346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2C" w:rsidRDefault="0036172C">
      <w:r>
        <w:separator/>
      </w:r>
    </w:p>
  </w:footnote>
  <w:footnote w:type="continuationSeparator" w:id="0">
    <w:p w:rsidR="0036172C" w:rsidRDefault="0036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200225"/>
    <w:rsid w:val="0023319B"/>
    <w:rsid w:val="00236FEE"/>
    <w:rsid w:val="00271011"/>
    <w:rsid w:val="00333770"/>
    <w:rsid w:val="0036172C"/>
    <w:rsid w:val="00380001"/>
    <w:rsid w:val="00385C8A"/>
    <w:rsid w:val="00387283"/>
    <w:rsid w:val="00394CA5"/>
    <w:rsid w:val="003C5D12"/>
    <w:rsid w:val="00424325"/>
    <w:rsid w:val="0045456C"/>
    <w:rsid w:val="00493B84"/>
    <w:rsid w:val="0049710A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C2998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8C1346"/>
    <w:rsid w:val="00962945"/>
    <w:rsid w:val="00991547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F212B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3A614"/>
  <w15:docId w15:val="{F4F79120-5FEA-4728-9A00-88FDED1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45</cp:revision>
  <dcterms:created xsi:type="dcterms:W3CDTF">2024-03-25T10:07:00Z</dcterms:created>
  <dcterms:modified xsi:type="dcterms:W3CDTF">2026-03-25T07:57:00Z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