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402C03B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</w:t>
      </w:r>
      <w:r w:rsidR="00FE7E19">
        <w:rPr>
          <w:rFonts w:ascii="Times New Roman" w:hAnsi="Times New Roman"/>
          <w:b/>
          <w:sz w:val="28"/>
          <w:szCs w:val="28"/>
        </w:rPr>
        <w:t>4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0DE719F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E7E19">
        <w:rPr>
          <w:rFonts w:ascii="Times New Roman" w:eastAsia="Calibri" w:hAnsi="Times New Roman"/>
          <w:b/>
          <w:iCs/>
          <w:sz w:val="28"/>
          <w:szCs w:val="28"/>
        </w:rPr>
        <w:t>5</w:t>
      </w:r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005D932A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6A09F9" w14:textId="77777777" w:rsidR="00FE7E19" w:rsidRPr="00FE7E19" w:rsidRDefault="00FE7E19" w:rsidP="00FE7E19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FE7E19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FEB3518" w14:textId="77777777" w:rsidR="00DB6978" w:rsidRPr="00FE7E19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Pr="00FE7E19" w:rsidRDefault="005707DF" w:rsidP="00B42809">
      <w:pPr>
        <w:spacing w:after="0"/>
        <w:ind w:firstLine="709"/>
        <w:jc w:val="center"/>
        <w:rPr>
          <w:b/>
        </w:rPr>
      </w:pPr>
      <w:r w:rsidRPr="00FE7E1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Pr="00FE7E19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FE7E19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E7E19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E19">
        <w:rPr>
          <w:rFonts w:ascii="Times New Roman" w:hAnsi="Times New Roman"/>
          <w:sz w:val="28"/>
          <w:szCs w:val="28"/>
          <w:lang w:eastAsia="ru-RU"/>
        </w:rPr>
        <w:t>задержание по подозрению в сов</w:t>
      </w:r>
      <w:r w:rsidRPr="00A324D8">
        <w:rPr>
          <w:rFonts w:ascii="Times New Roman" w:hAnsi="Times New Roman"/>
          <w:sz w:val="28"/>
          <w:szCs w:val="28"/>
          <w:lang w:eastAsia="ru-RU"/>
        </w:rPr>
        <w:t>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При  исполнении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административное наказание в виде штрафа в размере,  не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п.п.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согласия  руководителя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630D43FB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0A1269A5" w14:textId="77777777" w:rsidR="000071B6" w:rsidRDefault="000071B6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Карахановым,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Караханова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Зубайруева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Зубайруева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. В обоснование своих возражений обвиняемая пояснила, что Силантьева стала 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7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564293">
    <w:abstractNumId w:val="7"/>
  </w:num>
  <w:num w:numId="3" w16cid:durableId="1044410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856942">
    <w:abstractNumId w:val="1"/>
  </w:num>
  <w:num w:numId="5" w16cid:durableId="1047804258">
    <w:abstractNumId w:val="4"/>
  </w:num>
  <w:num w:numId="6" w16cid:durableId="97425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520074">
    <w:abstractNumId w:val="8"/>
  </w:num>
  <w:num w:numId="8" w16cid:durableId="2003850921">
    <w:abstractNumId w:val="5"/>
  </w:num>
  <w:num w:numId="9" w16cid:durableId="1552500839">
    <w:abstractNumId w:val="9"/>
  </w:num>
  <w:num w:numId="10" w16cid:durableId="636029483">
    <w:abstractNumId w:val="3"/>
  </w:num>
  <w:num w:numId="11" w16cid:durableId="1342850674">
    <w:abstractNumId w:val="6"/>
  </w:num>
  <w:num w:numId="12" w16cid:durableId="4100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7DF"/>
    <w:rsid w:val="000071B6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840785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33898"/>
    <w:rsid w:val="00DB0B7E"/>
    <w:rsid w:val="00DB6978"/>
    <w:rsid w:val="00DC4D3B"/>
    <w:rsid w:val="00DF4BD7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E7E19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4</cp:revision>
  <dcterms:created xsi:type="dcterms:W3CDTF">2026-03-18T08:41:00Z</dcterms:created>
  <dcterms:modified xsi:type="dcterms:W3CDTF">2026-04-01T11:57:00Z</dcterms:modified>
</cp:coreProperties>
</file>