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72661504" w:rsidR="008F6B6F" w:rsidRPr="00203752" w:rsidRDefault="008F6B6F" w:rsidP="00277D9E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370B5F">
        <w:rPr>
          <w:b/>
          <w:bCs/>
          <w:sz w:val="28"/>
          <w:szCs w:val="28"/>
        </w:rPr>
        <w:t>о</w:t>
      </w:r>
      <w:r w:rsidRPr="00203752">
        <w:rPr>
          <w:b/>
          <w:bCs/>
          <w:sz w:val="28"/>
          <w:szCs w:val="28"/>
        </w:rPr>
        <w:t>знакомительной практике</w:t>
      </w:r>
      <w:r w:rsidR="002E727B">
        <w:rPr>
          <w:b/>
          <w:bCs/>
          <w:sz w:val="28"/>
          <w:szCs w:val="28"/>
        </w:rPr>
        <w:t xml:space="preserve"> (отраслев</w:t>
      </w:r>
      <w:r w:rsidR="00540F2E">
        <w:rPr>
          <w:b/>
          <w:bCs/>
          <w:sz w:val="28"/>
          <w:szCs w:val="28"/>
        </w:rPr>
        <w:t>ой</w:t>
      </w:r>
      <w:r w:rsidR="002E727B">
        <w:rPr>
          <w:b/>
          <w:bCs/>
          <w:sz w:val="28"/>
          <w:szCs w:val="28"/>
        </w:rPr>
        <w:t>)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249E8C1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3DC3982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4FE13840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по ознакомительной практике</w:t>
            </w:r>
            <w:r w:rsidR="002E727B">
              <w:rPr>
                <w:b/>
                <w:sz w:val="28"/>
                <w:szCs w:val="28"/>
              </w:rPr>
              <w:t xml:space="preserve"> (отраслевой)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09D5F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2188598D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06E037B7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4552F378" w14:textId="77777777" w:rsidR="00B26313" w:rsidRDefault="00B26313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1A53129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7FFE10E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50DCA35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3B73775B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57B6B8B9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17D962CF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B04B43" w14:textId="77777777" w:rsidR="00B26313" w:rsidRDefault="00B26313" w:rsidP="00B26313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4B43F553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9273C89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4149FCE8" w14:textId="77777777" w:rsidR="00B26313" w:rsidRDefault="00B26313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E781F6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159AB6D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18125BD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53E49F97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5052AAC" w14:textId="2D092BDE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6277F3B7" w:rsidR="00203752" w:rsidRDefault="00203752" w:rsidP="00104B6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  <w:r w:rsidR="00104B6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71CFA061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57F2B050" w14:textId="6485BEC0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1AAA6D3A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5469A434" w14:textId="17E72CB2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BE6">
        <w:rPr>
          <w:sz w:val="28"/>
          <w:szCs w:val="28"/>
        </w:rPr>
        <w:t>Какая ситуация во время прохождения практики вызвала наибольшие трудности и как удалось их разрешить?</w:t>
      </w:r>
    </w:p>
    <w:p w14:paraId="7E16B408" w14:textId="1B17AE2C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31F9E2EB" w14:textId="17D19E80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Встречались ли вы с конфликтными ситуациями при работе с людьми и как вы их разрешали?</w:t>
      </w:r>
    </w:p>
    <w:p w14:paraId="1608DAEC" w14:textId="547CF26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Какие задания были вам наиболее интересны и почему?</w:t>
      </w:r>
    </w:p>
    <w:p w14:paraId="51AE401B" w14:textId="771631D4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имеющиеся у вас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7A9354BF" w14:textId="76984F85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315B74B3" w14:textId="2E652D8A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7A90DB6D" w14:textId="390FF5C9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452FB70" w14:textId="1C1DDE58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B5C4778" w14:textId="5A07B6F3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75026EDA" w14:textId="40DBB5FA" w:rsidR="00C93514" w:rsidRP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5. Опишите </w:t>
      </w:r>
      <w:r w:rsidR="00AA3F5D">
        <w:rPr>
          <w:bCs/>
          <w:noProof/>
          <w:sz w:val="28"/>
          <w:szCs w:val="28"/>
        </w:rPr>
        <w:t>основные</w:t>
      </w:r>
      <w:r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органа или организации, где вы проходили практику</w:t>
      </w:r>
      <w:r>
        <w:rPr>
          <w:bCs/>
          <w:noProof/>
          <w:sz w:val="28"/>
          <w:szCs w:val="28"/>
        </w:rPr>
        <w:t>.</w:t>
      </w:r>
    </w:p>
    <w:p w14:paraId="7C4F1FEC" w14:textId="71F70224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60A4" w14:textId="77777777" w:rsidR="00F67E06" w:rsidRDefault="00F67E06">
      <w:r>
        <w:separator/>
      </w:r>
    </w:p>
  </w:endnote>
  <w:endnote w:type="continuationSeparator" w:id="0">
    <w:p w14:paraId="4358B9AE" w14:textId="77777777" w:rsidR="00F67E06" w:rsidRDefault="00F6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AEAF" w14:textId="77777777" w:rsidR="00F67E06" w:rsidRDefault="00F67E06">
      <w:r>
        <w:separator/>
      </w:r>
    </w:p>
  </w:footnote>
  <w:footnote w:type="continuationSeparator" w:id="0">
    <w:p w14:paraId="16FFF29A" w14:textId="77777777" w:rsidR="00F67E06" w:rsidRDefault="00F6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1329">
    <w:abstractNumId w:val="1"/>
  </w:num>
  <w:num w:numId="2" w16cid:durableId="1867790810">
    <w:abstractNumId w:val="4"/>
  </w:num>
  <w:num w:numId="3" w16cid:durableId="1814443957">
    <w:abstractNumId w:val="2"/>
  </w:num>
  <w:num w:numId="4" w16cid:durableId="1467621999">
    <w:abstractNumId w:val="9"/>
  </w:num>
  <w:num w:numId="5" w16cid:durableId="1920824750">
    <w:abstractNumId w:val="3"/>
  </w:num>
  <w:num w:numId="6" w16cid:durableId="1689595546">
    <w:abstractNumId w:val="15"/>
  </w:num>
  <w:num w:numId="7" w16cid:durableId="1808820093">
    <w:abstractNumId w:val="16"/>
  </w:num>
  <w:num w:numId="8" w16cid:durableId="1980381929">
    <w:abstractNumId w:val="11"/>
  </w:num>
  <w:num w:numId="9" w16cid:durableId="256255985">
    <w:abstractNumId w:val="5"/>
  </w:num>
  <w:num w:numId="10" w16cid:durableId="901058058">
    <w:abstractNumId w:val="17"/>
  </w:num>
  <w:num w:numId="11" w16cid:durableId="1502158287">
    <w:abstractNumId w:val="12"/>
  </w:num>
  <w:num w:numId="12" w16cid:durableId="1034843492">
    <w:abstractNumId w:val="13"/>
  </w:num>
  <w:num w:numId="13" w16cid:durableId="85856976">
    <w:abstractNumId w:val="14"/>
  </w:num>
  <w:num w:numId="14" w16cid:durableId="59208760">
    <w:abstractNumId w:val="0"/>
  </w:num>
  <w:num w:numId="15" w16cid:durableId="582030035">
    <w:abstractNumId w:val="18"/>
  </w:num>
  <w:num w:numId="16" w16cid:durableId="736171830">
    <w:abstractNumId w:val="6"/>
  </w:num>
  <w:num w:numId="17" w16cid:durableId="694161184">
    <w:abstractNumId w:val="8"/>
  </w:num>
  <w:num w:numId="18" w16cid:durableId="404454849">
    <w:abstractNumId w:val="7"/>
  </w:num>
  <w:num w:numId="19" w16cid:durableId="2105028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1418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13CE8"/>
    <w:rsid w:val="00034CEB"/>
    <w:rsid w:val="00046027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04B64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77D9E"/>
    <w:rsid w:val="002E727B"/>
    <w:rsid w:val="0032141E"/>
    <w:rsid w:val="00333770"/>
    <w:rsid w:val="00345E0D"/>
    <w:rsid w:val="00370B5F"/>
    <w:rsid w:val="00380001"/>
    <w:rsid w:val="00385C8A"/>
    <w:rsid w:val="00387283"/>
    <w:rsid w:val="00394CA5"/>
    <w:rsid w:val="003C5D12"/>
    <w:rsid w:val="00424325"/>
    <w:rsid w:val="0045456C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65309"/>
    <w:rsid w:val="00581E6E"/>
    <w:rsid w:val="005A3A19"/>
    <w:rsid w:val="0061285D"/>
    <w:rsid w:val="00652711"/>
    <w:rsid w:val="006C08F1"/>
    <w:rsid w:val="00712168"/>
    <w:rsid w:val="007134F3"/>
    <w:rsid w:val="007308BD"/>
    <w:rsid w:val="00740793"/>
    <w:rsid w:val="00747C80"/>
    <w:rsid w:val="0076262D"/>
    <w:rsid w:val="007710F1"/>
    <w:rsid w:val="007933E4"/>
    <w:rsid w:val="007C2934"/>
    <w:rsid w:val="00806705"/>
    <w:rsid w:val="008262BB"/>
    <w:rsid w:val="00846E9F"/>
    <w:rsid w:val="00850CBE"/>
    <w:rsid w:val="008541EB"/>
    <w:rsid w:val="008A574B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F4B1B"/>
    <w:rsid w:val="00B25207"/>
    <w:rsid w:val="00B257B7"/>
    <w:rsid w:val="00B26313"/>
    <w:rsid w:val="00B40F21"/>
    <w:rsid w:val="00BB15C8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67E06"/>
    <w:rsid w:val="00F9183F"/>
    <w:rsid w:val="00FB0907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2026-04-01T09:57:00Z</dcterms:created>
  <dcterms:modified xsi:type="dcterms:W3CDTF">2026-04-05T14:56:00Z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