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Pr="00843C1A" w:rsidRDefault="00843C1A" w:rsidP="00843C1A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CDC4699" w14:textId="77777777" w:rsidR="00843C1A" w:rsidRPr="00843C1A" w:rsidRDefault="00843C1A" w:rsidP="00843C1A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7CEC4B9B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 w:rsidR="009D64E0">
        <w:rPr>
          <w:rFonts w:ascii="Times New Roman" w:hAnsi="Times New Roman"/>
          <w:b/>
          <w:sz w:val="28"/>
          <w:szCs w:val="28"/>
        </w:rPr>
        <w:t>О</w:t>
      </w:r>
      <w:r w:rsidRPr="00843C1A">
        <w:rPr>
          <w:rFonts w:ascii="Times New Roman" w:hAnsi="Times New Roman"/>
          <w:b/>
          <w:sz w:val="28"/>
          <w:szCs w:val="28"/>
        </w:rPr>
        <w:t>ПК-</w:t>
      </w:r>
      <w:r w:rsidR="009D64E0">
        <w:rPr>
          <w:rFonts w:ascii="Times New Roman" w:hAnsi="Times New Roman"/>
          <w:b/>
          <w:sz w:val="28"/>
          <w:szCs w:val="28"/>
        </w:rPr>
        <w:t>7</w:t>
      </w:r>
      <w:bookmarkStart w:id="0" w:name="_GoBack"/>
      <w:bookmarkEnd w:id="0"/>
    </w:p>
    <w:p w14:paraId="1B007D94" w14:textId="77777777" w:rsidR="00843C1A" w:rsidRPr="00843C1A" w:rsidRDefault="00843C1A" w:rsidP="00843C1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2243E8DB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3</w:t>
      </w:r>
    </w:p>
    <w:p w14:paraId="777F766F" w14:textId="77777777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77777777" w:rsidR="00843C1A" w:rsidRPr="00843C1A" w:rsidRDefault="00843C1A" w:rsidP="00843C1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1D13731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339D2690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43C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90EDF6A" w14:textId="0E24D8DD" w:rsidR="00843C1A" w:rsidRPr="00843C1A" w:rsidRDefault="00843C1A" w:rsidP="00843C1A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гласности.</w:t>
      </w:r>
    </w:p>
    <w:p w14:paraId="77BA9AB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Конституционный Суд Российской Федерации;</w:t>
      </w:r>
    </w:p>
    <w:p w14:paraId="45A191EC" w14:textId="5F99A931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об экономических преступлениях;</w:t>
      </w:r>
    </w:p>
    <w:p w14:paraId="1B6CCD4C" w14:textId="7B1FCC4B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6B4F697E" w14:textId="77777777" w:rsidR="000433A4" w:rsidRDefault="000433A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5343CE55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</w:t>
      </w:r>
      <w:proofErr w:type="spellStart"/>
      <w:r w:rsidRPr="00843C1A">
        <w:rPr>
          <w:rFonts w:ascii="Times New Roman" w:hAnsi="Times New Roman"/>
          <w:iCs/>
          <w:sz w:val="28"/>
          <w:szCs w:val="28"/>
        </w:rPr>
        <w:t>подследственностью</w:t>
      </w:r>
      <w:proofErr w:type="spellEnd"/>
      <w:r w:rsidRPr="00843C1A">
        <w:rPr>
          <w:rFonts w:ascii="Times New Roman" w:hAnsi="Times New Roman"/>
          <w:iCs/>
          <w:sz w:val="28"/>
          <w:szCs w:val="28"/>
        </w:rPr>
        <w:t xml:space="preserve">, установленной УПК РФ; </w:t>
      </w:r>
    </w:p>
    <w:p w14:paraId="0F224421" w14:textId="3F711BB3" w:rsidR="00044C27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</w:t>
      </w:r>
      <w:proofErr w:type="spellStart"/>
      <w:r w:rsidR="00832F19" w:rsidRPr="00843C1A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="00832F19" w:rsidRPr="00843C1A">
        <w:rPr>
          <w:rFonts w:ascii="Times New Roman" w:hAnsi="Times New Roman"/>
          <w:iCs/>
          <w:sz w:val="28"/>
          <w:szCs w:val="28"/>
        </w:rPr>
        <w:t xml:space="preserve"> входит:</w:t>
      </w:r>
    </w:p>
    <w:p w14:paraId="22CE6A2C" w14:textId="7C2224A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Положением о нотариальной части;</w:t>
      </w:r>
    </w:p>
    <w:p w14:paraId="55509547" w14:textId="0AB3603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городе Н. проходил процесс по делу, вызвавшему большой общественный резонанс – совершение нескольких половых преступлений </w:t>
      </w:r>
      <w:r w:rsidRPr="00747018">
        <w:rPr>
          <w:rFonts w:ascii="Times New Roman" w:hAnsi="Times New Roman"/>
          <w:iCs/>
          <w:sz w:val="28"/>
          <w:szCs w:val="28"/>
        </w:rPr>
        <w:lastRenderedPageBreak/>
        <w:t>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2C0E1D6F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безмотивно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lastRenderedPageBreak/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 xml:space="preserve"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</w:t>
      </w:r>
      <w:r w:rsidRPr="003979F1">
        <w:rPr>
          <w:rFonts w:ascii="Times New Roman" w:hAnsi="Times New Roman"/>
          <w:iCs/>
          <w:sz w:val="28"/>
          <w:szCs w:val="28"/>
        </w:rPr>
        <w:lastRenderedPageBreak/>
        <w:t>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>В связи с этим орган юстиции области принял решение о создании 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 xml:space="preserve"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</w:t>
      </w:r>
      <w:r w:rsidRPr="00B24748">
        <w:rPr>
          <w:rFonts w:ascii="Times New Roman" w:hAnsi="Times New Roman"/>
          <w:iCs/>
          <w:sz w:val="28"/>
          <w:szCs w:val="28"/>
        </w:rPr>
        <w:lastRenderedPageBreak/>
        <w:t>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33A4"/>
    <w:rsid w:val="00044C27"/>
    <w:rsid w:val="000606AA"/>
    <w:rsid w:val="00070184"/>
    <w:rsid w:val="00072507"/>
    <w:rsid w:val="000A6D8E"/>
    <w:rsid w:val="000D010F"/>
    <w:rsid w:val="000E184B"/>
    <w:rsid w:val="001045B5"/>
    <w:rsid w:val="00172637"/>
    <w:rsid w:val="001A3D38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803311"/>
    <w:rsid w:val="00832F19"/>
    <w:rsid w:val="00843C1A"/>
    <w:rsid w:val="00844825"/>
    <w:rsid w:val="00850C6E"/>
    <w:rsid w:val="00857C46"/>
    <w:rsid w:val="00874E63"/>
    <w:rsid w:val="00877630"/>
    <w:rsid w:val="008C09B9"/>
    <w:rsid w:val="008D6FE4"/>
    <w:rsid w:val="008F6D38"/>
    <w:rsid w:val="0099034B"/>
    <w:rsid w:val="009D3134"/>
    <w:rsid w:val="009D64E0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D295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6</cp:revision>
  <dcterms:created xsi:type="dcterms:W3CDTF">2026-03-18T08:04:00Z</dcterms:created>
  <dcterms:modified xsi:type="dcterms:W3CDTF">2026-04-10T07:36:00Z</dcterms:modified>
</cp:coreProperties>
</file>