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060E" w14:textId="72929247" w:rsidR="00562C6A" w:rsidRPr="005C5798" w:rsidRDefault="00562C6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62C6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2C6A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2026-05-20T14:56:00Z</dcterms:modified>
</cp:coreProperties>
</file>