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23201">
        <w:rPr>
          <w:rFonts w:ascii="Times New Roman" w:hAnsi="Times New Roman"/>
          <w:b/>
          <w:iCs/>
          <w:sz w:val="28"/>
          <w:szCs w:val="28"/>
        </w:rPr>
        <w:t>6</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E81843"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rFonts w:ascii="Times New Roman" w:hAnsi="Times New Roman"/>
          <w:bCs/>
          <w:kern w:val="36"/>
          <w:sz w:val="28"/>
          <w:szCs w:val="48"/>
          <w:lang w:eastAsia="ru-RU"/>
        </w:rPr>
        <w:lastRenderedPageBreak/>
        <w:t>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E81843" w:rsidRDefault="00E81843" w:rsidP="00E81843">
      <w:pPr>
        <w:spacing w:after="0" w:line="240" w:lineRule="auto"/>
        <w:jc w:val="both"/>
        <w:outlineLvl w:val="0"/>
        <w:rPr>
          <w:rFonts w:ascii="Times New Roman" w:hAnsi="Times New Roman"/>
          <w:sz w:val="28"/>
          <w:szCs w:val="28"/>
        </w:rPr>
      </w:pPr>
    </w:p>
    <w:p w:rsidR="00E81843" w:rsidRDefault="00E81843" w:rsidP="00E8184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rsidR="00E81843" w:rsidRPr="00E81843" w:rsidRDefault="00E81843" w:rsidP="00E81843">
      <w:pPr>
        <w:spacing w:after="0" w:line="240" w:lineRule="auto"/>
        <w:jc w:val="both"/>
        <w:outlineLvl w:val="0"/>
        <w:rPr>
          <w:rFonts w:ascii="Times New Roman" w:hAnsi="Times New Roman"/>
          <w:sz w:val="28"/>
          <w:szCs w:val="28"/>
        </w:rPr>
      </w:pPr>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документ, являющийся </w:t>
      </w:r>
      <w:proofErr w:type="gramStart"/>
      <w:r w:rsidRPr="00B55DD3">
        <w:rPr>
          <w:sz w:val="28"/>
          <w:szCs w:val="28"/>
        </w:rPr>
        <w:t>вещественным доказательством</w:t>
      </w:r>
      <w:proofErr w:type="gramEnd"/>
      <w:r w:rsidRPr="00B55DD3">
        <w:rPr>
          <w:sz w:val="28"/>
          <w:szCs w:val="28"/>
        </w:rPr>
        <w:t xml:space="preserve">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lastRenderedPageBreak/>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23201">
        <w:rPr>
          <w:rFonts w:ascii="Times New Roman" w:hAnsi="Times New Roman"/>
          <w:b/>
          <w:iCs/>
          <w:sz w:val="28"/>
          <w:szCs w:val="28"/>
        </w:rPr>
        <w:t>7</w:t>
      </w:r>
      <w:bookmarkStart w:id="0" w:name="_GoBack"/>
      <w:bookmarkEnd w:id="0"/>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lastRenderedPageBreak/>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lastRenderedPageBreak/>
        <w:t xml:space="preserve">Контрабанда наркотических средств, психотропных веществ, их </w:t>
      </w:r>
      <w:proofErr w:type="spellStart"/>
      <w:r w:rsidRPr="0045164F">
        <w:t>прекурсоров</w:t>
      </w:r>
      <w:proofErr w:type="spellEnd"/>
      <w:r w:rsidRPr="0045164F">
        <w:t xml:space="preserve"> или аналогов, растений, содержащих наркотические средства, психотропные вещества или их </w:t>
      </w:r>
      <w:proofErr w:type="spellStart"/>
      <w:r w:rsidRPr="0045164F">
        <w:t>прекурсоры</w:t>
      </w:r>
      <w:proofErr w:type="spellEnd"/>
      <w:r w:rsidRPr="0045164F">
        <w:t xml:space="preserve">, либо их частей, содержащих наркотические средства, психотропные вещества или их </w:t>
      </w:r>
      <w:proofErr w:type="spellStart"/>
      <w:r w:rsidRPr="0045164F">
        <w:t>прекурсоры</w:t>
      </w:r>
      <w:proofErr w:type="spellEnd"/>
      <w:r w:rsidRPr="0045164F">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понятие и виды. </w:t>
      </w: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lastRenderedPageBreak/>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575D9B">
        <w:rPr>
          <w:rFonts w:ascii="Times New Roman" w:hAnsi="Times New Roman"/>
          <w:iCs/>
          <w:sz w:val="28"/>
          <w:szCs w:val="28"/>
        </w:rPr>
        <w:t xml:space="preserve"> и решить ситуационную задачу.</w:t>
      </w:r>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lastRenderedPageBreak/>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Контрабанда стратегически важных товаров, повлекшая за собой неуплату таможенных платежей в крупном размере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наличные  денежные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легализация (отмывание) денежных средств или иного имущества,  приобретенных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lastRenderedPageBreak/>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lastRenderedPageBreak/>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w:t>
      </w:r>
      <w:r w:rsidRPr="00677F27">
        <w:rPr>
          <w:rFonts w:ascii="Times New Roman" w:hAnsi="Times New Roman"/>
          <w:sz w:val="28"/>
          <w:szCs w:val="28"/>
        </w:rPr>
        <w:lastRenderedPageBreak/>
        <w:t>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xml:space="preserve">. Из объяснений пассажиров </w:t>
      </w:r>
      <w:r w:rsidRPr="00677F27">
        <w:rPr>
          <w:rFonts w:ascii="Times New Roman" w:hAnsi="Times New Roman"/>
          <w:sz w:val="28"/>
          <w:szCs w:val="28"/>
        </w:rPr>
        <w:lastRenderedPageBreak/>
        <w:t>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w:t>
      </w:r>
      <w:r w:rsidRPr="00677F27">
        <w:rPr>
          <w:rFonts w:ascii="Times New Roman" w:hAnsi="Times New Roman" w:cs="Times New Roman"/>
          <w:sz w:val="28"/>
          <w:szCs w:val="28"/>
        </w:rPr>
        <w:lastRenderedPageBreak/>
        <w:t xml:space="preserve">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Директор новосибирской фирмы ничего о деятельности возглавляемой им компании не знал, документы подписал за денежное вознаграждение. 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w:t>
      </w:r>
      <w:r w:rsidRPr="00677F27">
        <w:rPr>
          <w:sz w:val="28"/>
          <w:szCs w:val="28"/>
        </w:rPr>
        <w:lastRenderedPageBreak/>
        <w:t>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Фактический объем топлива, отгруженного на суда сахалинской 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lastRenderedPageBreak/>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w:t>
      </w:r>
      <w:proofErr w:type="spellStart"/>
      <w:r w:rsidRPr="00677F27">
        <w:rPr>
          <w:rFonts w:ascii="Times New Roman" w:hAnsi="Times New Roman"/>
          <w:sz w:val="28"/>
          <w:szCs w:val="28"/>
          <w:lang w:eastAsia="ar-SA"/>
        </w:rPr>
        <w:t>прекурсоров</w:t>
      </w:r>
      <w:proofErr w:type="spellEnd"/>
      <w:r w:rsidRPr="00677F27">
        <w:rPr>
          <w:rFonts w:ascii="Times New Roman" w:hAnsi="Times New Roman"/>
          <w:sz w:val="28"/>
          <w:szCs w:val="28"/>
          <w:lang w:eastAsia="ar-SA"/>
        </w:rPr>
        <w:t xml:space="preserve">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lastRenderedPageBreak/>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w:t>
      </w:r>
      <w:r w:rsidRPr="00677F27">
        <w:rPr>
          <w:rFonts w:ascii="Times New Roman" w:hAnsi="Times New Roman"/>
          <w:sz w:val="28"/>
          <w:szCs w:val="28"/>
          <w:lang w:eastAsia="ar-SA"/>
        </w:rPr>
        <w:lastRenderedPageBreak/>
        <w:t>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личного таможенного досмотра гражданина у него 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C2AB5"/>
    <w:rsid w:val="001D75D9"/>
    <w:rsid w:val="001F1415"/>
    <w:rsid w:val="00202C6E"/>
    <w:rsid w:val="00203FAD"/>
    <w:rsid w:val="002569E4"/>
    <w:rsid w:val="002872A2"/>
    <w:rsid w:val="002D5DAA"/>
    <w:rsid w:val="0030639A"/>
    <w:rsid w:val="00354926"/>
    <w:rsid w:val="00364CAC"/>
    <w:rsid w:val="003A50D0"/>
    <w:rsid w:val="003B63AC"/>
    <w:rsid w:val="003D257F"/>
    <w:rsid w:val="003F4D4F"/>
    <w:rsid w:val="0042477C"/>
    <w:rsid w:val="0045164F"/>
    <w:rsid w:val="00456FA4"/>
    <w:rsid w:val="004679B0"/>
    <w:rsid w:val="00484B0C"/>
    <w:rsid w:val="004A585D"/>
    <w:rsid w:val="00523201"/>
    <w:rsid w:val="005610FC"/>
    <w:rsid w:val="005611E1"/>
    <w:rsid w:val="00575D9B"/>
    <w:rsid w:val="005870A5"/>
    <w:rsid w:val="005D08D2"/>
    <w:rsid w:val="005D2A4F"/>
    <w:rsid w:val="00604E72"/>
    <w:rsid w:val="00677F27"/>
    <w:rsid w:val="006B58FB"/>
    <w:rsid w:val="006E00B9"/>
    <w:rsid w:val="00715445"/>
    <w:rsid w:val="00742E58"/>
    <w:rsid w:val="007A42C9"/>
    <w:rsid w:val="007A5550"/>
    <w:rsid w:val="007D6976"/>
    <w:rsid w:val="00803311"/>
    <w:rsid w:val="0085205B"/>
    <w:rsid w:val="00854330"/>
    <w:rsid w:val="00857C46"/>
    <w:rsid w:val="008B5536"/>
    <w:rsid w:val="009724D5"/>
    <w:rsid w:val="009B6129"/>
    <w:rsid w:val="009D2682"/>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112BF"/>
    <w:rsid w:val="00E12558"/>
    <w:rsid w:val="00E332A8"/>
    <w:rsid w:val="00E431E8"/>
    <w:rsid w:val="00E81843"/>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3A39E6"/>
  <w15:docId w15:val="{46692A50-1053-46AD-A31E-607B39F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5992</Words>
  <Characters>34158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8</cp:revision>
  <dcterms:created xsi:type="dcterms:W3CDTF">2025-09-13T08:43:00Z</dcterms:created>
  <dcterms:modified xsi:type="dcterms:W3CDTF">2026-06-03T14:03:00Z</dcterms:modified>
</cp:coreProperties>
</file>