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0B462" w14:textId="179C57C4" w:rsidR="002D45AF" w:rsidRDefault="002D45AF" w:rsidP="001574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D45AF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0" w:name="_GoBack"/>
      <w:bookmarkEnd w:id="0"/>
      <w:r w:rsidRPr="002D45AF">
        <w:rPr>
          <w:rFonts w:ascii="Times New Roman" w:hAnsi="Times New Roman"/>
          <w:b/>
          <w:iCs/>
          <w:sz w:val="28"/>
          <w:szCs w:val="28"/>
        </w:rPr>
        <w:t>по дисциплин</w:t>
      </w:r>
      <w:r>
        <w:rPr>
          <w:rFonts w:ascii="Times New Roman" w:hAnsi="Times New Roman"/>
          <w:b/>
          <w:iCs/>
          <w:sz w:val="28"/>
          <w:szCs w:val="28"/>
        </w:rPr>
        <w:t>е</w:t>
      </w:r>
    </w:p>
    <w:p w14:paraId="3101D233" w14:textId="308E27D5" w:rsidR="00742E58" w:rsidRPr="00157448" w:rsidRDefault="00742E58" w:rsidP="0015744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57448">
        <w:rPr>
          <w:rFonts w:ascii="Times New Roman" w:hAnsi="Times New Roman"/>
          <w:b/>
          <w:iCs/>
          <w:sz w:val="28"/>
          <w:szCs w:val="28"/>
        </w:rPr>
        <w:t>«</w:t>
      </w:r>
      <w:r w:rsidR="00D34BAD">
        <w:rPr>
          <w:rFonts w:ascii="Times New Roman" w:hAnsi="Times New Roman"/>
          <w:b/>
          <w:noProof/>
          <w:sz w:val="28"/>
          <w:szCs w:val="28"/>
        </w:rPr>
        <w:t>История таможенного дела и таможенной политики</w:t>
      </w:r>
      <w:r w:rsidRPr="00157448">
        <w:rPr>
          <w:rFonts w:ascii="Times New Roman" w:hAnsi="Times New Roman"/>
          <w:b/>
          <w:iCs/>
          <w:sz w:val="28"/>
          <w:szCs w:val="28"/>
        </w:rPr>
        <w:t>»</w:t>
      </w:r>
    </w:p>
    <w:p w14:paraId="7A453C3D" w14:textId="333BCFD3" w:rsidR="00E55E33" w:rsidRDefault="00E55E33" w:rsidP="00E429E5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55E33">
        <w:rPr>
          <w:rFonts w:ascii="Times New Roman" w:hAnsi="Times New Roman"/>
          <w:iCs/>
          <w:sz w:val="28"/>
          <w:szCs w:val="28"/>
        </w:rPr>
        <w:t xml:space="preserve"> </w:t>
      </w:r>
    </w:p>
    <w:p w14:paraId="0ADA181B" w14:textId="1BFA916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45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</w:t>
      </w:r>
      <w:r w:rsidR="00CC242D">
        <w:rPr>
          <w:rFonts w:ascii="Times New Roman" w:hAnsi="Times New Roman"/>
          <w:iCs/>
          <w:sz w:val="28"/>
          <w:szCs w:val="28"/>
        </w:rPr>
        <w:t>зачет</w:t>
      </w:r>
      <w:r w:rsidRPr="002D45AF">
        <w:rPr>
          <w:rFonts w:ascii="Times New Roman" w:hAnsi="Times New Roman"/>
          <w:iCs/>
          <w:sz w:val="28"/>
          <w:szCs w:val="28"/>
        </w:rPr>
        <w:t>) обучающемуся предлагается ответить на 2 вопроса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B319793" w14:textId="7777777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B17EEB" w14:textId="7B45802A" w:rsidR="002D45AF" w:rsidRDefault="002D45AF" w:rsidP="00E429E5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23FB2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 w:rsidR="00CC242D">
        <w:rPr>
          <w:rFonts w:ascii="Times New Roman" w:hAnsi="Times New Roman"/>
          <w:b/>
          <w:iCs/>
          <w:sz w:val="28"/>
          <w:szCs w:val="28"/>
        </w:rPr>
        <w:t>к зачету</w:t>
      </w:r>
    </w:p>
    <w:p w14:paraId="25B8F781" w14:textId="77777777" w:rsidR="002D45AF" w:rsidRDefault="002D45AF" w:rsidP="00E429E5">
      <w:pPr>
        <w:widowControl w:val="0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6A1DC9C" w14:textId="04C35F7F" w:rsidR="002D45AF" w:rsidRPr="002D45AF" w:rsidRDefault="002D45AF" w:rsidP="00E429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55E33">
        <w:rPr>
          <w:rFonts w:ascii="Times New Roman" w:hAnsi="Times New Roman"/>
          <w:b/>
          <w:sz w:val="28"/>
          <w:szCs w:val="28"/>
        </w:rPr>
        <w:t>Оценка знаний по компетенциям</w:t>
      </w:r>
      <w:r>
        <w:rPr>
          <w:rFonts w:ascii="Times New Roman" w:hAnsi="Times New Roman"/>
          <w:b/>
          <w:sz w:val="28"/>
          <w:szCs w:val="28"/>
        </w:rPr>
        <w:t xml:space="preserve"> УК-5</w:t>
      </w:r>
      <w:r w:rsidR="005928CA">
        <w:rPr>
          <w:rFonts w:ascii="Times New Roman" w:hAnsi="Times New Roman"/>
          <w:b/>
          <w:sz w:val="28"/>
          <w:szCs w:val="28"/>
        </w:rPr>
        <w:t>, ПК-7</w:t>
      </w:r>
    </w:p>
    <w:p w14:paraId="625EA4C8" w14:textId="77777777" w:rsidR="002D45AF" w:rsidRPr="00157448" w:rsidRDefault="002D45AF" w:rsidP="00E429E5">
      <w:pPr>
        <w:widowControl w:val="0"/>
        <w:spacing w:after="0"/>
        <w:ind w:left="426" w:hanging="426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91E20F7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Какие основные торговые пути существовали в Древней Руси и какое значение они имели для развития таможенного дела?</w:t>
      </w:r>
    </w:p>
    <w:p w14:paraId="73E39219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Содержание и значение договоров князей Олега и Игоря с Византией для торгово-таможенных отношений.</w:t>
      </w:r>
    </w:p>
    <w:p w14:paraId="7C68B846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 xml:space="preserve">Классификация первых таможенных сборов в Древней Руси (мыт, перевоз, гостиное, </w:t>
      </w:r>
      <w:proofErr w:type="spellStart"/>
      <w:r w:rsidRPr="00CC242D">
        <w:rPr>
          <w:rFonts w:ascii="Times New Roman" w:hAnsi="Times New Roman"/>
          <w:sz w:val="28"/>
          <w:szCs w:val="28"/>
        </w:rPr>
        <w:t>весчее</w:t>
      </w:r>
      <w:proofErr w:type="spellEnd"/>
      <w:r w:rsidRPr="00CC242D">
        <w:rPr>
          <w:rFonts w:ascii="Times New Roman" w:hAnsi="Times New Roman"/>
          <w:sz w:val="28"/>
          <w:szCs w:val="28"/>
        </w:rPr>
        <w:t>, явка).</w:t>
      </w:r>
    </w:p>
    <w:p w14:paraId="5872448C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Отражение торговых отношений в «Русской правде»: основные статьи и их содержание.</w:t>
      </w:r>
    </w:p>
    <w:p w14:paraId="32BC9716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монголо-татарского ига на таможенную систему Руси.</w:t>
      </w:r>
    </w:p>
    <w:p w14:paraId="07FCF3DF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Происхождение терминов «тамга» и «таможня».</w:t>
      </w:r>
    </w:p>
    <w:p w14:paraId="0E24736D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Система откупов и кормлений: механизм функционирования, достоинства и недостатки.</w:t>
      </w:r>
    </w:p>
    <w:p w14:paraId="276CE607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Особенности таможенных сборов в Новгородской и Псковской республиках.</w:t>
      </w:r>
    </w:p>
    <w:p w14:paraId="17C174AF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Унификация таможенного обложения в Московском централизованном государстве: причины и последствия.</w:t>
      </w:r>
    </w:p>
    <w:p w14:paraId="73A624C1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Положения Судебников 1497 и 1550 гг. о торговых пошлинах.</w:t>
      </w:r>
    </w:p>
    <w:p w14:paraId="47DCEF62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Функции Приказа Большого прихода и Приказа Большой казны.</w:t>
      </w:r>
    </w:p>
    <w:p w14:paraId="01D85268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Устройство Московской Большой таможни и таможенных изб на местах.</w:t>
      </w:r>
    </w:p>
    <w:p w14:paraId="62DDFE0D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Предпосылки таможенной реформы середины XVII в.</w:t>
      </w:r>
    </w:p>
    <w:p w14:paraId="7968213F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Суть и механизм замены множества таможенных сборов единой рублевой пошлиной по Торговому уставу 1653 г.</w:t>
      </w:r>
    </w:p>
    <w:p w14:paraId="2AD06DA4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Значение отмены внутренних таможенных пошлин для развития внутренней торговли.</w:t>
      </w:r>
    </w:p>
    <w:p w14:paraId="190AFAE2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характер Новоторгового устава 1667 г.</w:t>
      </w:r>
    </w:p>
    <w:p w14:paraId="55475C75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Сравнение ставок пошлин на иностранные и отечественные товары по Новоторговому уставу 1667 г.</w:t>
      </w:r>
    </w:p>
    <w:p w14:paraId="2DB2E2BA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Меры борьбы с контрабандой, предусмотренные Новоторговым уставом 1667 г.</w:t>
      </w:r>
    </w:p>
    <w:p w14:paraId="42B0B477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Развитие внешней торговли через порты Балтики в эпоху Петра I.</w:t>
      </w:r>
    </w:p>
    <w:p w14:paraId="10080A3B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Структура и характер Таможенного тарифа 1724 г.: протекционизм и ставки.</w:t>
      </w:r>
    </w:p>
    <w:p w14:paraId="1F7D3A79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таможенной стражи при Петре I: цели и основные функции.</w:t>
      </w:r>
    </w:p>
    <w:p w14:paraId="223900E9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Введение паспортной системы и контроль за передвижением в первой половине XVIII в.</w:t>
      </w:r>
    </w:p>
    <w:p w14:paraId="7FE4B306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1757 г. и реформа П.И. Шувалова.</w:t>
      </w:r>
    </w:p>
    <w:p w14:paraId="03B4D8DB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1766 г. и 1782 г. при Екатерине II: переход к фритредерству.</w:t>
      </w:r>
    </w:p>
    <w:p w14:paraId="4BEFFDC9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Откупная система в таможенном деле XVIII в.: механизм и злоупотребления.</w:t>
      </w:r>
    </w:p>
    <w:p w14:paraId="50E7D2A6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1819 г. и его либеральный характер.</w:t>
      </w:r>
    </w:p>
    <w:p w14:paraId="688900D8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1822 г.: причины возврата к протекционизму.</w:t>
      </w:r>
    </w:p>
    <w:p w14:paraId="6AF256CD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Централизация управления таможенной службой в первой половине XIX в.</w:t>
      </w:r>
    </w:p>
    <w:p w14:paraId="6DF8EBBC" w14:textId="77777777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Методы борьбы с контрабандой на западных границах России в первой половине XIX в.</w:t>
      </w:r>
    </w:p>
    <w:p w14:paraId="387E08FA" w14:textId="6ADC290F" w:rsidR="00CC242D" w:rsidRPr="00CC242D" w:rsidRDefault="00CC242D" w:rsidP="00AC7A1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тариф 1891 г. (тариф Менделеева): структура и значение</w:t>
      </w:r>
      <w:r w:rsidR="00E429E5" w:rsidRPr="00CC242D">
        <w:rPr>
          <w:rFonts w:ascii="Times New Roman" w:hAnsi="Times New Roman"/>
          <w:sz w:val="28"/>
          <w:szCs w:val="28"/>
          <w:lang w:bidi="ru-RU"/>
        </w:rPr>
        <w:t>.</w:t>
      </w:r>
    </w:p>
    <w:p w14:paraId="2562C499" w14:textId="45476E81" w:rsidR="00CC242D" w:rsidRPr="00CC242D" w:rsidRDefault="00CC242D" w:rsidP="00CC242D">
      <w:pPr>
        <w:tabs>
          <w:tab w:val="left" w:pos="1134"/>
        </w:tabs>
        <w:spacing w:after="160" w:line="240" w:lineRule="auto"/>
        <w:ind w:firstLine="709"/>
        <w:jc w:val="both"/>
        <w:rPr>
          <w:rFonts w:ascii="Times New Roman" w:hAnsi="Times New Roman"/>
          <w:spacing w:val="5"/>
          <w:sz w:val="28"/>
          <w:szCs w:val="28"/>
        </w:rPr>
      </w:pPr>
      <w:r w:rsidRPr="002D45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4853584" w14:textId="77777777" w:rsidR="00CC242D" w:rsidRDefault="00CC242D" w:rsidP="00CC242D">
      <w:pPr>
        <w:widowControl w:val="0"/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4BACF572" w14:textId="55617C5D" w:rsidR="00CC242D" w:rsidRDefault="00CC242D" w:rsidP="00CC242D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23FB2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</w:t>
      </w:r>
      <w:r>
        <w:rPr>
          <w:rFonts w:ascii="Times New Roman" w:hAnsi="Times New Roman"/>
          <w:b/>
          <w:iCs/>
          <w:sz w:val="28"/>
          <w:szCs w:val="28"/>
        </w:rPr>
        <w:t>к экзамену</w:t>
      </w:r>
    </w:p>
    <w:p w14:paraId="4C63C92A" w14:textId="77777777" w:rsidR="00CC242D" w:rsidRPr="00CC242D" w:rsidRDefault="00CC242D" w:rsidP="00CC242D">
      <w:pPr>
        <w:widowControl w:val="0"/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8AF004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Основные торговые пути в Древней Руси и их значение для развития таможенного дела.</w:t>
      </w:r>
    </w:p>
    <w:p w14:paraId="4D26B49A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Договоры князей Олега и Игоря с Византией: содержание и значение для торгово-таможенных отношений.</w:t>
      </w:r>
    </w:p>
    <w:p w14:paraId="60EB480B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 xml:space="preserve">Классификация первых таможенных сборов в Древней Руси (мыт, перевоз, гостиное, </w:t>
      </w:r>
      <w:proofErr w:type="spellStart"/>
      <w:r w:rsidRPr="00CC242D">
        <w:rPr>
          <w:rFonts w:ascii="Times New Roman" w:hAnsi="Times New Roman"/>
          <w:sz w:val="28"/>
          <w:szCs w:val="28"/>
        </w:rPr>
        <w:t>весчее</w:t>
      </w:r>
      <w:proofErr w:type="spellEnd"/>
      <w:r w:rsidRPr="00CC242D">
        <w:rPr>
          <w:rFonts w:ascii="Times New Roman" w:hAnsi="Times New Roman"/>
          <w:sz w:val="28"/>
          <w:szCs w:val="28"/>
        </w:rPr>
        <w:t>, явка).</w:t>
      </w:r>
    </w:p>
    <w:p w14:paraId="3D37AE81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Отражение торговых отношений в «Русской правде».</w:t>
      </w:r>
    </w:p>
    <w:p w14:paraId="1C2E62E8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монголо-татарского ига на таможенную систему Руси.</w:t>
      </w:r>
    </w:p>
    <w:p w14:paraId="3A95222B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Происхождение терминов «тамга» и «таможня».</w:t>
      </w:r>
    </w:p>
    <w:p w14:paraId="064C94D4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Система откупов и кормлений: механизм, достоинства и недостатки.</w:t>
      </w:r>
    </w:p>
    <w:p w14:paraId="42F64E40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Особенности таможенных сборов в Новгородской и Псковской республиках.</w:t>
      </w:r>
    </w:p>
    <w:p w14:paraId="7E24C0CB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Торговля с Ганзейским союзом и ее влияние на таможенное дело.</w:t>
      </w:r>
    </w:p>
    <w:p w14:paraId="630519E4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Унификация таможенного обложения в Московском централизованном государстве.</w:t>
      </w:r>
    </w:p>
    <w:p w14:paraId="55BF1A44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Положения Судебников 1497 и 1550 гг. о торговых пошлинах.</w:t>
      </w:r>
    </w:p>
    <w:p w14:paraId="1F5F85C3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Функции Приказа Большого прихода и Приказа Большой казны.</w:t>
      </w:r>
    </w:p>
    <w:p w14:paraId="2E9B4243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Устройство Московской Большой таможни и таможенных изб на местах.</w:t>
      </w:r>
    </w:p>
    <w:p w14:paraId="1549D591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Предпосылки таможенной реформы середины XVII в.</w:t>
      </w:r>
    </w:p>
    <w:p w14:paraId="4C92CB41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Торговый устав 1653 г.: замена множества сборов единой рублевой пошлиной.</w:t>
      </w:r>
    </w:p>
    <w:p w14:paraId="368C6391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Значение отмены внутренних таможенных пошлин.</w:t>
      </w:r>
    </w:p>
    <w:p w14:paraId="42D47B2E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Новоторговый устав 1667 г.: протекционистский характер.</w:t>
      </w:r>
    </w:p>
    <w:p w14:paraId="6C8674D1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Повышение пошлин на иностранные товары по Новоторговому уставу 1667 г.</w:t>
      </w:r>
    </w:p>
    <w:p w14:paraId="7D3C5F59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Привилегии для русских купцов по Новоторговому уставу 1667 г.</w:t>
      </w:r>
    </w:p>
    <w:p w14:paraId="1022C90E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Меры борьбы с контрабандой в XVII в.</w:t>
      </w:r>
    </w:p>
    <w:p w14:paraId="2187CAF8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Развитие внешней торговли через порты Балтики в эпоху Петра I.</w:t>
      </w:r>
    </w:p>
    <w:p w14:paraId="71825E5D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1724 г.: структура ставок и протекционизм.</w:t>
      </w:r>
    </w:p>
    <w:p w14:paraId="316B008F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таможенной стражи при Петре I.</w:t>
      </w:r>
    </w:p>
    <w:p w14:paraId="710141A4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Введение паспортной системы и контроль за передвижением в первой половине XVIII в.</w:t>
      </w:r>
    </w:p>
    <w:p w14:paraId="58402CA9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1757 г. и реформа П.И. Шувалова.</w:t>
      </w:r>
    </w:p>
    <w:p w14:paraId="30FE2171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1766 г. и 1782 г. при Екатерине II.</w:t>
      </w:r>
    </w:p>
    <w:p w14:paraId="2055C1EC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Переход к фритредерству во второй половине XVIII в.</w:t>
      </w:r>
    </w:p>
    <w:p w14:paraId="14FD345B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Откупная система в таможенном деле XVIII в.</w:t>
      </w:r>
    </w:p>
    <w:p w14:paraId="50CE54AF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1819 г.: либерализация внешней торговли.</w:t>
      </w:r>
    </w:p>
    <w:p w14:paraId="16939E4F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тариф 1822 г.: возврат к протекционизму.</w:t>
      </w:r>
    </w:p>
    <w:p w14:paraId="382D0348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Централизация управления таможенной службой в первой половине XIX в.</w:t>
      </w:r>
    </w:p>
    <w:p w14:paraId="31E3BF0B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Методы борьбы с контрабандой на западных границах в первой половине XIX в.</w:t>
      </w:r>
    </w:p>
    <w:p w14:paraId="0924D354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Таможенные тарифы 1857 г. и 1868 г.</w:t>
      </w:r>
    </w:p>
    <w:p w14:paraId="64CBF82F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Протекционистский тариф 1891 г. (тариф Менделеева).</w:t>
      </w:r>
    </w:p>
    <w:p w14:paraId="7FFD0587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Влияние промышленного переворота на структуру внешней торговли России.</w:t>
      </w:r>
    </w:p>
    <w:p w14:paraId="28C9FFCF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Отдельного корпуса пограничной стражи и его функции.</w:t>
      </w:r>
    </w:p>
    <w:p w14:paraId="68677419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политика России накануне Первой мировой войны.</w:t>
      </w:r>
    </w:p>
    <w:p w14:paraId="63DDE35B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lastRenderedPageBreak/>
        <w:t>Военный контроль за внешней торговлей в годы Первой мировой войны.</w:t>
      </w:r>
    </w:p>
    <w:p w14:paraId="52681910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Кризис таможенной системы в 1917 г.</w:t>
      </w:r>
    </w:p>
    <w:p w14:paraId="7E965014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Изменения в таможенном деле после Февральской и Октябрьской революций 1917 г.</w:t>
      </w:r>
    </w:p>
    <w:p w14:paraId="678B043A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Декрет о национализации внешней торговли (1918 г.).</w:t>
      </w:r>
    </w:p>
    <w:p w14:paraId="5B2E13BD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Установление государственной монополии внешней торговли в Советской России.</w:t>
      </w:r>
    </w:p>
    <w:p w14:paraId="11B81E5E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политика в годы НЭПа.</w:t>
      </w:r>
    </w:p>
    <w:p w14:paraId="5F71B46B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Сравнительный анализ таможенных тарифов 1922, 1924, 1927 гг.</w:t>
      </w:r>
    </w:p>
    <w:p w14:paraId="28235686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Свертывание НЭПа и ужесточение таможенного контроля в 1930-е гг.</w:t>
      </w:r>
    </w:p>
    <w:p w14:paraId="6EBB0A80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СССР 1928 г.: основные положения.</w:t>
      </w:r>
    </w:p>
    <w:p w14:paraId="188EB6B4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служба в годы Великой Отечественной войны.</w:t>
      </w:r>
    </w:p>
    <w:p w14:paraId="3603E7F1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Усиление монополии внешней торговли в послевоенный период.</w:t>
      </w:r>
    </w:p>
    <w:p w14:paraId="4EE5C624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СССР 1964 г.</w:t>
      </w:r>
    </w:p>
    <w:p w14:paraId="5FEF38C1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Таможенная служба в системе СЭВ.</w:t>
      </w:r>
    </w:p>
    <w:p w14:paraId="7761309B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Борьба с контрабандой валюты и валютных ценностей в 1960–1980-е гг.</w:t>
      </w:r>
    </w:p>
    <w:p w14:paraId="6692AB1C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Ослабление монополии внешней торговли в период перестройки (1985–1991 гг.).</w:t>
      </w:r>
    </w:p>
    <w:p w14:paraId="23BB344E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Распад СССР и разрушение единой таможенной территории.</w:t>
      </w:r>
    </w:p>
    <w:p w14:paraId="5FD253B9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Государственного таможенного комитета РФ (1991 г.).</w:t>
      </w:r>
    </w:p>
    <w:p w14:paraId="22E2D3AC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Либерализация внешнеэкономической деятельности в Российской Федерации.</w:t>
      </w:r>
    </w:p>
    <w:p w14:paraId="72DF43CD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РФ 1993 г. и Закон «О таможенном тарифе».</w:t>
      </w:r>
    </w:p>
    <w:p w14:paraId="7A38F2E6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Таможенный кодекс РФ 2003 г.: основные новации.</w:t>
      </w:r>
    </w:p>
    <w:p w14:paraId="75CB6341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Таможенного союза ЕврАзЭС (2010 г.) и Таможенный кодекс Таможенного союза.</w:t>
      </w:r>
    </w:p>
    <w:p w14:paraId="16AB9EA4" w14:textId="77777777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Вступление России в ВТО (2012 г.): условия и последствия.</w:t>
      </w:r>
    </w:p>
    <w:p w14:paraId="32A4C444" w14:textId="5A0664C9" w:rsidR="00CC242D" w:rsidRPr="00CC242D" w:rsidRDefault="00CC242D" w:rsidP="00AC7A1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42D">
        <w:rPr>
          <w:rFonts w:ascii="Times New Roman" w:hAnsi="Times New Roman"/>
          <w:sz w:val="28"/>
          <w:szCs w:val="28"/>
        </w:rPr>
        <w:t>Создание Евразийского экономического союза (2015 г.) и Таможенный кодекс ЕАЭС (2018 г.). Отличия ЕАЭС от Таможенного союза.</w:t>
      </w:r>
    </w:p>
    <w:sectPr w:rsidR="00CC242D" w:rsidRPr="00CC2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08F0"/>
    <w:multiLevelType w:val="hybridMultilevel"/>
    <w:tmpl w:val="0D2C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476AE"/>
    <w:multiLevelType w:val="hybridMultilevel"/>
    <w:tmpl w:val="A0042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55960"/>
    <w:rsid w:val="000B30DF"/>
    <w:rsid w:val="000B3793"/>
    <w:rsid w:val="000D5C7A"/>
    <w:rsid w:val="000E22BF"/>
    <w:rsid w:val="00157448"/>
    <w:rsid w:val="00163F80"/>
    <w:rsid w:val="00175D46"/>
    <w:rsid w:val="001766DA"/>
    <w:rsid w:val="00191ED6"/>
    <w:rsid w:val="001B7B58"/>
    <w:rsid w:val="001D173B"/>
    <w:rsid w:val="001D75D9"/>
    <w:rsid w:val="00202C6E"/>
    <w:rsid w:val="00203FAD"/>
    <w:rsid w:val="00211ED4"/>
    <w:rsid w:val="00231714"/>
    <w:rsid w:val="00236646"/>
    <w:rsid w:val="002569E4"/>
    <w:rsid w:val="002872A2"/>
    <w:rsid w:val="002A54B4"/>
    <w:rsid w:val="002B4210"/>
    <w:rsid w:val="002B7C2F"/>
    <w:rsid w:val="002D45AF"/>
    <w:rsid w:val="002D5DAA"/>
    <w:rsid w:val="002E24EE"/>
    <w:rsid w:val="002E3578"/>
    <w:rsid w:val="002F484C"/>
    <w:rsid w:val="003234BF"/>
    <w:rsid w:val="003319A0"/>
    <w:rsid w:val="00354926"/>
    <w:rsid w:val="00364CAC"/>
    <w:rsid w:val="00372584"/>
    <w:rsid w:val="0038772F"/>
    <w:rsid w:val="003A50D0"/>
    <w:rsid w:val="003B63AC"/>
    <w:rsid w:val="003C0D15"/>
    <w:rsid w:val="003C14AA"/>
    <w:rsid w:val="003C32B7"/>
    <w:rsid w:val="0045033B"/>
    <w:rsid w:val="00471048"/>
    <w:rsid w:val="00556DB8"/>
    <w:rsid w:val="005610FC"/>
    <w:rsid w:val="005611E1"/>
    <w:rsid w:val="00573E5D"/>
    <w:rsid w:val="00582592"/>
    <w:rsid w:val="005928CA"/>
    <w:rsid w:val="005C46BA"/>
    <w:rsid w:val="005D2A4F"/>
    <w:rsid w:val="005E00EF"/>
    <w:rsid w:val="005F090B"/>
    <w:rsid w:val="00623FB2"/>
    <w:rsid w:val="00653BAB"/>
    <w:rsid w:val="00670DF5"/>
    <w:rsid w:val="006A6C68"/>
    <w:rsid w:val="006C7AB7"/>
    <w:rsid w:val="006E00B9"/>
    <w:rsid w:val="006F1311"/>
    <w:rsid w:val="006F1DD8"/>
    <w:rsid w:val="00715445"/>
    <w:rsid w:val="00742E58"/>
    <w:rsid w:val="00770B3B"/>
    <w:rsid w:val="007A42C9"/>
    <w:rsid w:val="007A5550"/>
    <w:rsid w:val="00803311"/>
    <w:rsid w:val="008038D2"/>
    <w:rsid w:val="008043D3"/>
    <w:rsid w:val="008117A4"/>
    <w:rsid w:val="00817D87"/>
    <w:rsid w:val="00845C91"/>
    <w:rsid w:val="00857C46"/>
    <w:rsid w:val="008F02B7"/>
    <w:rsid w:val="0090764C"/>
    <w:rsid w:val="009152F7"/>
    <w:rsid w:val="00956D9C"/>
    <w:rsid w:val="009724D5"/>
    <w:rsid w:val="009D287E"/>
    <w:rsid w:val="009D6BE2"/>
    <w:rsid w:val="009F0880"/>
    <w:rsid w:val="00A74EDB"/>
    <w:rsid w:val="00AA3F74"/>
    <w:rsid w:val="00AB11FE"/>
    <w:rsid w:val="00AB2F8F"/>
    <w:rsid w:val="00AC7A12"/>
    <w:rsid w:val="00AE764F"/>
    <w:rsid w:val="00B148F0"/>
    <w:rsid w:val="00B170C6"/>
    <w:rsid w:val="00B17E69"/>
    <w:rsid w:val="00C95ACD"/>
    <w:rsid w:val="00CC242D"/>
    <w:rsid w:val="00CE3885"/>
    <w:rsid w:val="00CF7560"/>
    <w:rsid w:val="00D05325"/>
    <w:rsid w:val="00D3019A"/>
    <w:rsid w:val="00D34BAD"/>
    <w:rsid w:val="00D354DA"/>
    <w:rsid w:val="00D454D2"/>
    <w:rsid w:val="00D74B9E"/>
    <w:rsid w:val="00D90126"/>
    <w:rsid w:val="00D91DA6"/>
    <w:rsid w:val="00D95AEA"/>
    <w:rsid w:val="00DA52F7"/>
    <w:rsid w:val="00DB36DC"/>
    <w:rsid w:val="00E112BF"/>
    <w:rsid w:val="00E13DE1"/>
    <w:rsid w:val="00E16A2A"/>
    <w:rsid w:val="00E332A8"/>
    <w:rsid w:val="00E429E5"/>
    <w:rsid w:val="00E4373E"/>
    <w:rsid w:val="00E55E33"/>
    <w:rsid w:val="00E61692"/>
    <w:rsid w:val="00E9770E"/>
    <w:rsid w:val="00EA49A2"/>
    <w:rsid w:val="00EB2DBE"/>
    <w:rsid w:val="00EC6987"/>
    <w:rsid w:val="00ED3DCD"/>
    <w:rsid w:val="00EF1B41"/>
    <w:rsid w:val="00F07AA6"/>
    <w:rsid w:val="00F246AA"/>
    <w:rsid w:val="00F665CC"/>
    <w:rsid w:val="00F81615"/>
    <w:rsid w:val="00F8701C"/>
    <w:rsid w:val="00F95C1F"/>
    <w:rsid w:val="00FB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D230"/>
  <w15:docId w15:val="{2CEA3B4A-0296-4D2A-A053-2DC6835A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C7AB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C7A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C7AB7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1ED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1ED6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6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3F80"/>
    <w:rPr>
      <w:rFonts w:ascii="Tahoma" w:eastAsia="Times New Roman" w:hAnsi="Tahoma" w:cs="Tahoma"/>
      <w:sz w:val="16"/>
      <w:szCs w:val="16"/>
    </w:rPr>
  </w:style>
  <w:style w:type="character" w:styleId="ac">
    <w:name w:val="Book Title"/>
    <w:basedOn w:val="a0"/>
    <w:uiPriority w:val="33"/>
    <w:qFormat/>
    <w:rsid w:val="00E429E5"/>
    <w:rPr>
      <w:b/>
      <w:bCs/>
      <w:i/>
      <w:iCs/>
      <w:spacing w:val="5"/>
    </w:rPr>
  </w:style>
  <w:style w:type="paragraph" w:styleId="ad">
    <w:name w:val="Normal (Web)"/>
    <w:basedOn w:val="a"/>
    <w:uiPriority w:val="99"/>
    <w:semiHidden/>
    <w:unhideWhenUsed/>
    <w:rsid w:val="00E429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C24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7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2025-05-30T06:12:00Z</dcterms:created>
  <dcterms:modified xsi:type="dcterms:W3CDTF">2026-06-08T07:04:00Z</dcterms:modified>
</cp:coreProperties>
</file>